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5A93F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rFonts w:hint="eastAsia" w:ascii="黑体" w:hAnsi="黑体" w:eastAsia="黑体" w:cs="黑体"/>
          <w:b w:val="0"/>
          <w:bCs w:val="0"/>
          <w:color w:val="auto"/>
          <w:sz w:val="36"/>
          <w:szCs w:val="36"/>
          <w:highlight w:val="none"/>
        </w:rPr>
      </w:pPr>
      <w:bookmarkStart w:id="0" w:name="_GoBack"/>
      <w:r>
        <w:rPr>
          <w:rFonts w:hint="eastAsia" w:ascii="黑体" w:hAnsi="黑体" w:eastAsia="黑体" w:cs="黑体"/>
          <w:b w:val="0"/>
          <w:bCs w:val="0"/>
          <w:color w:val="auto"/>
          <w:sz w:val="36"/>
          <w:szCs w:val="36"/>
          <w:highlight w:val="none"/>
          <w:lang w:val="en-US" w:eastAsia="zh-CN"/>
        </w:rPr>
        <w:t>校园</w:t>
      </w:r>
      <w:r>
        <w:rPr>
          <w:rFonts w:hint="eastAsia" w:ascii="黑体" w:hAnsi="黑体" w:eastAsia="黑体" w:cs="黑体"/>
          <w:b w:val="0"/>
          <w:bCs w:val="0"/>
          <w:color w:val="auto"/>
          <w:sz w:val="36"/>
          <w:szCs w:val="36"/>
          <w:highlight w:val="none"/>
        </w:rPr>
        <w:t>社区门诊服务</w:t>
      </w:r>
      <w:r>
        <w:rPr>
          <w:rFonts w:hint="eastAsia" w:ascii="黑体" w:hAnsi="黑体" w:eastAsia="黑体" w:cs="黑体"/>
          <w:b w:val="0"/>
          <w:bCs w:val="0"/>
          <w:color w:val="auto"/>
          <w:sz w:val="36"/>
          <w:szCs w:val="36"/>
          <w:highlight w:val="none"/>
          <w:lang w:val="en-US" w:eastAsia="zh-CN"/>
        </w:rPr>
        <w:t>采购</w:t>
      </w:r>
      <w:r>
        <w:rPr>
          <w:rFonts w:hint="eastAsia" w:ascii="黑体" w:hAnsi="黑体" w:eastAsia="黑体" w:cs="黑体"/>
          <w:b w:val="0"/>
          <w:bCs w:val="0"/>
          <w:color w:val="auto"/>
          <w:sz w:val="36"/>
          <w:szCs w:val="36"/>
          <w:highlight w:val="none"/>
        </w:rPr>
        <w:t>项目采购需求</w:t>
      </w:r>
      <w:bookmarkEnd w:id="0"/>
    </w:p>
    <w:p w14:paraId="56D7028E">
      <w:pPr>
        <w:rPr>
          <w:rFonts w:hint="eastAsia"/>
          <w:color w:val="auto"/>
          <w:sz w:val="18"/>
          <w:szCs w:val="21"/>
          <w:highlight w:val="none"/>
        </w:rPr>
      </w:pPr>
    </w:p>
    <w:p w14:paraId="592E99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卫生服务中心现有托管服务合同将于2026年7月10日到期。为保障校园医疗及公共卫生服务无缝衔接、持续规范运行，避免服务断档，稳定服务标准，持续筑牢校园公共卫生安全防线，现申请采购珠海科技学院社区门诊（卫生服务中心）整体托管运营服务，具体需求如下：</w:t>
      </w:r>
    </w:p>
    <w:p w14:paraId="6AE2FF9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一、项目基本信息</w:t>
      </w:r>
    </w:p>
    <w:tbl>
      <w:tblPr>
        <w:tblStyle w:val="5"/>
        <w:tblW w:w="0" w:type="auto"/>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987"/>
        <w:gridCol w:w="7379"/>
      </w:tblGrid>
      <w:tr w14:paraId="1DAC8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Header/>
          <w:tblCellSpacing w:w="15" w:type="dxa"/>
        </w:trPr>
        <w:tc>
          <w:tcPr>
            <w:tcW w:w="942" w:type="dxa"/>
            <w:shd w:val="clear" w:color="auto" w:fill="auto"/>
            <w:vAlign w:val="center"/>
          </w:tcPr>
          <w:p w14:paraId="41222211">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项目内容</w:t>
            </w:r>
          </w:p>
        </w:tc>
        <w:tc>
          <w:tcPr>
            <w:tcW w:w="7334" w:type="dxa"/>
            <w:shd w:val="clear" w:color="auto" w:fill="auto"/>
            <w:vAlign w:val="center"/>
          </w:tcPr>
          <w:p w14:paraId="60ACD88D">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具体说明</w:t>
            </w:r>
          </w:p>
        </w:tc>
      </w:tr>
      <w:tr w14:paraId="5357F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942" w:type="dxa"/>
            <w:shd w:val="clear" w:color="auto" w:fill="auto"/>
            <w:vAlign w:val="center"/>
          </w:tcPr>
          <w:p w14:paraId="3ABCA821">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项目名称</w:t>
            </w:r>
          </w:p>
        </w:tc>
        <w:tc>
          <w:tcPr>
            <w:tcW w:w="7334" w:type="dxa"/>
            <w:shd w:val="clear" w:color="auto" w:fill="auto"/>
            <w:vAlign w:val="center"/>
          </w:tcPr>
          <w:p w14:paraId="12642DED">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珠海科技学院社区门诊服务</w:t>
            </w:r>
          </w:p>
        </w:tc>
      </w:tr>
      <w:tr w14:paraId="1CF5D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942" w:type="dxa"/>
            <w:shd w:val="clear" w:color="auto" w:fill="auto"/>
            <w:vAlign w:val="center"/>
          </w:tcPr>
          <w:p w14:paraId="2A5F1C24">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服务期限</w:t>
            </w:r>
          </w:p>
        </w:tc>
        <w:tc>
          <w:tcPr>
            <w:tcW w:w="7334" w:type="dxa"/>
            <w:shd w:val="clear" w:color="auto" w:fill="auto"/>
            <w:vAlign w:val="center"/>
          </w:tcPr>
          <w:p w14:paraId="487F37E8">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合同签订之日起1年</w:t>
            </w:r>
          </w:p>
        </w:tc>
      </w:tr>
      <w:tr w14:paraId="0EBFD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942" w:type="dxa"/>
            <w:shd w:val="clear" w:color="auto" w:fill="auto"/>
            <w:vAlign w:val="center"/>
          </w:tcPr>
          <w:p w14:paraId="3D376973">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采购方式</w:t>
            </w:r>
          </w:p>
        </w:tc>
        <w:tc>
          <w:tcPr>
            <w:tcW w:w="7334" w:type="dxa"/>
            <w:shd w:val="clear" w:color="auto" w:fill="auto"/>
            <w:vAlign w:val="center"/>
          </w:tcPr>
          <w:p w14:paraId="1F71E8C9">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公开招标</w:t>
            </w:r>
          </w:p>
        </w:tc>
      </w:tr>
      <w:tr w14:paraId="0C09E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942" w:type="dxa"/>
            <w:shd w:val="clear" w:color="auto" w:fill="auto"/>
            <w:vAlign w:val="center"/>
          </w:tcPr>
          <w:p w14:paraId="1AC858C3">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服务地点</w:t>
            </w:r>
          </w:p>
        </w:tc>
        <w:tc>
          <w:tcPr>
            <w:tcW w:w="7334" w:type="dxa"/>
            <w:shd w:val="clear" w:color="auto" w:fill="auto"/>
            <w:vAlign w:val="center"/>
          </w:tcPr>
          <w:p w14:paraId="6C934C53">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珠海科技学院桂园7栋一楼卫生服务中心（使用面积约400平方米）</w:t>
            </w:r>
          </w:p>
        </w:tc>
      </w:tr>
      <w:tr w14:paraId="6DE87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942" w:type="dxa"/>
            <w:shd w:val="clear" w:color="auto" w:fill="auto"/>
            <w:vAlign w:val="center"/>
          </w:tcPr>
          <w:p w14:paraId="4730F8B5">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服务对象</w:t>
            </w:r>
          </w:p>
        </w:tc>
        <w:tc>
          <w:tcPr>
            <w:tcW w:w="7334" w:type="dxa"/>
            <w:shd w:val="clear" w:color="auto" w:fill="auto"/>
            <w:vAlign w:val="center"/>
          </w:tcPr>
          <w:p w14:paraId="0DE1FF30">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在校师生员工约3万余人</w:t>
            </w:r>
          </w:p>
        </w:tc>
      </w:tr>
      <w:tr w14:paraId="4FA81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942" w:type="dxa"/>
            <w:shd w:val="clear" w:color="auto" w:fill="auto"/>
            <w:vAlign w:val="center"/>
          </w:tcPr>
          <w:p w14:paraId="21934C9A">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运营模式</w:t>
            </w:r>
          </w:p>
        </w:tc>
        <w:tc>
          <w:tcPr>
            <w:tcW w:w="7334" w:type="dxa"/>
            <w:shd w:val="clear" w:color="auto" w:fill="auto"/>
            <w:vAlign w:val="center"/>
          </w:tcPr>
          <w:p w14:paraId="5366C577">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全托管运营，中标人</w:t>
            </w:r>
            <w:r>
              <w:rPr>
                <w:rStyle w:val="7"/>
                <w:rFonts w:hint="eastAsia" w:ascii="仿宋" w:hAnsi="仿宋" w:eastAsia="仿宋" w:cs="仿宋"/>
                <w:b w:val="0"/>
                <w:bCs w:val="0"/>
                <w:color w:val="auto"/>
                <w:kern w:val="0"/>
                <w:sz w:val="24"/>
                <w:szCs w:val="24"/>
                <w:highlight w:val="none"/>
                <w:lang w:val="en-US" w:eastAsia="zh-CN" w:bidi="ar"/>
              </w:rPr>
              <w:t>独立核算、自负盈亏</w:t>
            </w:r>
            <w:r>
              <w:rPr>
                <w:rFonts w:hint="eastAsia" w:ascii="仿宋" w:hAnsi="仿宋" w:eastAsia="仿宋" w:cs="仿宋"/>
                <w:b w:val="0"/>
                <w:bCs w:val="0"/>
                <w:color w:val="auto"/>
                <w:kern w:val="0"/>
                <w:sz w:val="24"/>
                <w:szCs w:val="24"/>
                <w:highlight w:val="none"/>
                <w:lang w:val="en-US" w:eastAsia="zh-CN" w:bidi="ar"/>
              </w:rPr>
              <w:t>，承担所有</w:t>
            </w:r>
            <w:r>
              <w:rPr>
                <w:rFonts w:hint="eastAsia" w:ascii="仿宋" w:hAnsi="仿宋" w:eastAsia="仿宋" w:cs="仿宋"/>
                <w:color w:val="auto"/>
                <w:kern w:val="0"/>
                <w:sz w:val="24"/>
                <w:szCs w:val="24"/>
                <w:highlight w:val="none"/>
                <w:lang w:val="en-US" w:eastAsia="zh-CN" w:bidi="ar"/>
              </w:rPr>
              <w:t>运营成本及全部法律经济责任，一切债权债务与校方无关</w:t>
            </w:r>
          </w:p>
        </w:tc>
      </w:tr>
      <w:tr w14:paraId="54574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942" w:type="dxa"/>
            <w:shd w:val="clear" w:color="auto" w:fill="auto"/>
            <w:vAlign w:val="center"/>
          </w:tcPr>
          <w:p w14:paraId="70FDACC2">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校方提供条件</w:t>
            </w:r>
          </w:p>
        </w:tc>
        <w:tc>
          <w:tcPr>
            <w:tcW w:w="7334" w:type="dxa"/>
            <w:shd w:val="clear" w:color="auto" w:fill="auto"/>
            <w:vAlign w:val="center"/>
          </w:tcPr>
          <w:p w14:paraId="1116E44B">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无偿提供400平方米运营场地、4间医护值班房及现有办公桌椅、空调、热水器、2台电动救护车等基础配套设施；校方负责场地及不动产的基础维护，正常使用产生的水电费由校方全额承担；经核查发现存在水电浪费、违规私接等非正常使用情形的，水电费由中标人据实承担。校方不提供任何医疗仪器设备、办公设备及药品耗材，并向中标人支付部分服务费。</w:t>
            </w:r>
          </w:p>
        </w:tc>
      </w:tr>
    </w:tbl>
    <w:p w14:paraId="2DE5884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二、投标人资格要求</w:t>
      </w:r>
    </w:p>
    <w:p w14:paraId="3841B3C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2" w:firstLineChars="200"/>
        <w:rPr>
          <w:rStyle w:val="7"/>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1.主体资质：</w:t>
      </w:r>
      <w:r>
        <w:rPr>
          <w:rStyle w:val="7"/>
          <w:rFonts w:hint="eastAsia" w:ascii="仿宋" w:hAnsi="仿宋" w:eastAsia="仿宋" w:cs="仿宋"/>
          <w:b w:val="0"/>
          <w:bCs w:val="0"/>
          <w:color w:val="auto"/>
          <w:sz w:val="24"/>
          <w:szCs w:val="24"/>
          <w:highlight w:val="none"/>
          <w:lang w:val="en-US" w:eastAsia="zh-CN"/>
        </w:rPr>
        <w:t>必须持有有效期内《医疗机构执业许可证》及相关健康体检许可资质证明；同等条件下优先考虑珠海市注册医疗机构。</w:t>
      </w:r>
    </w:p>
    <w:p w14:paraId="7680E4C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2" w:firstLineChars="200"/>
        <w:rPr>
          <w:rStyle w:val="7"/>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w:t>
      </w:r>
      <w:r>
        <w:rPr>
          <w:rStyle w:val="7"/>
          <w:rFonts w:hint="eastAsia" w:ascii="仿宋" w:hAnsi="仿宋" w:eastAsia="仿宋" w:cs="仿宋"/>
          <w:b/>
          <w:bCs/>
          <w:color w:val="auto"/>
          <w:sz w:val="24"/>
          <w:szCs w:val="24"/>
          <w:highlight w:val="none"/>
          <w:lang w:val="en-US" w:eastAsia="zh-CN"/>
        </w:rPr>
        <w:t>具有独立承担民事责任的能力：</w:t>
      </w:r>
      <w:r>
        <w:rPr>
          <w:rStyle w:val="7"/>
          <w:rFonts w:hint="eastAsia" w:ascii="仿宋" w:hAnsi="仿宋" w:eastAsia="仿宋" w:cs="仿宋"/>
          <w:b w:val="0"/>
          <w:bCs w:val="0"/>
          <w:color w:val="auto"/>
          <w:sz w:val="24"/>
          <w:szCs w:val="24"/>
          <w:highlight w:val="none"/>
          <w:lang w:val="en-US" w:eastAsia="zh-CN"/>
        </w:rPr>
        <w:t>在中华人民共和国境内注册的法人或其他组织或自然人，投标（响应）时提交有效的营业执照（或事业法人登记证或社会团体登记证或民办非企业单位登记证或身份证等相关证明）副本扫描件。</w:t>
      </w:r>
    </w:p>
    <w:p w14:paraId="69AF9E8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2" w:firstLineChars="200"/>
        <w:rPr>
          <w:rStyle w:val="7"/>
          <w:rFonts w:hint="default" w:ascii="仿宋" w:hAnsi="仿宋" w:eastAsia="仿宋" w:cs="仿宋"/>
          <w:b w:val="0"/>
          <w:bCs w:val="0"/>
          <w:strike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3.行业经验：</w:t>
      </w:r>
      <w:r>
        <w:rPr>
          <w:rStyle w:val="7"/>
          <w:rFonts w:hint="eastAsia" w:ascii="仿宋" w:hAnsi="仿宋" w:eastAsia="仿宋" w:cs="仿宋"/>
          <w:b w:val="0"/>
          <w:bCs w:val="0"/>
          <w:strike w:val="0"/>
          <w:dstrike w:val="0"/>
          <w:color w:val="auto"/>
          <w:sz w:val="24"/>
          <w:szCs w:val="24"/>
          <w:highlight w:val="none"/>
          <w:lang w:val="en-US" w:eastAsia="zh-CN"/>
        </w:rPr>
        <w:t>优先考虑具有</w:t>
      </w:r>
      <w:r>
        <w:rPr>
          <w:rFonts w:hint="eastAsia" w:ascii="仿宋" w:hAnsi="仿宋" w:eastAsia="仿宋" w:cs="仿宋"/>
          <w:b w:val="0"/>
          <w:bCs w:val="0"/>
          <w:strike w:val="0"/>
          <w:color w:val="auto"/>
          <w:kern w:val="0"/>
          <w:sz w:val="22"/>
          <w:szCs w:val="22"/>
          <w:highlight w:val="none"/>
          <w:lang w:val="en-US" w:eastAsia="zh-CN" w:bidi="ar"/>
        </w:rPr>
        <w:t>具有同类服务项目业绩</w:t>
      </w:r>
      <w:r>
        <w:rPr>
          <w:rStyle w:val="7"/>
          <w:rFonts w:hint="eastAsia" w:ascii="仿宋" w:hAnsi="仿宋" w:eastAsia="仿宋" w:cs="仿宋"/>
          <w:b w:val="0"/>
          <w:bCs w:val="0"/>
          <w:strike w:val="0"/>
          <w:dstrike w:val="0"/>
          <w:color w:val="auto"/>
          <w:sz w:val="24"/>
          <w:szCs w:val="24"/>
          <w:highlight w:val="none"/>
          <w:lang w:val="en-US" w:eastAsia="zh-CN"/>
        </w:rPr>
        <w:t>（提供合同扫描件证明）。</w:t>
      </w:r>
    </w:p>
    <w:p w14:paraId="53F2990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2" w:firstLineChars="200"/>
        <w:rPr>
          <w:rStyle w:val="7"/>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4.合规要求：</w:t>
      </w:r>
      <w:r>
        <w:rPr>
          <w:rStyle w:val="7"/>
          <w:rFonts w:hint="eastAsia" w:ascii="仿宋" w:hAnsi="仿宋" w:eastAsia="仿宋" w:cs="仿宋"/>
          <w:b w:val="0"/>
          <w:bCs w:val="0"/>
          <w:color w:val="auto"/>
          <w:sz w:val="24"/>
          <w:szCs w:val="24"/>
          <w:highlight w:val="none"/>
          <w:lang w:val="en-US" w:eastAsia="zh-CN"/>
        </w:rPr>
        <w:t>近3年无重大医疗责任事故、无严重违法失信记录，未被列入政府采购严重违法失信名单。</w:t>
      </w:r>
    </w:p>
    <w:p w14:paraId="5B18C66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2" w:firstLineChars="200"/>
        <w:rPr>
          <w:rStyle w:val="7"/>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5.禁止条款：</w:t>
      </w:r>
      <w:r>
        <w:rPr>
          <w:rStyle w:val="7"/>
          <w:rFonts w:hint="eastAsia" w:ascii="仿宋" w:hAnsi="仿宋" w:eastAsia="仿宋" w:cs="仿宋"/>
          <w:b w:val="0"/>
          <w:bCs w:val="0"/>
          <w:color w:val="auto"/>
          <w:sz w:val="24"/>
          <w:szCs w:val="24"/>
          <w:highlight w:val="none"/>
          <w:lang w:val="en-US" w:eastAsia="zh-CN"/>
        </w:rPr>
        <w:t>本项目不接受联合体投标，严禁转包、违法分包，一经发现立即终止合同并追究违约责任。</w:t>
      </w:r>
    </w:p>
    <w:p w14:paraId="78837AA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三、核心服务需求</w:t>
      </w:r>
    </w:p>
    <w:p w14:paraId="55AB9CE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2"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3.1诊疗服务要求</w:t>
      </w:r>
    </w:p>
    <w:p w14:paraId="155D6ED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2" w:firstLineChars="200"/>
        <w:rPr>
          <w:rStyle w:val="7"/>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1.服务时间：</w:t>
      </w:r>
      <w:r>
        <w:rPr>
          <w:rStyle w:val="7"/>
          <w:rFonts w:hint="eastAsia" w:ascii="仿宋" w:hAnsi="仿宋" w:eastAsia="仿宋" w:cs="仿宋"/>
          <w:b w:val="0"/>
          <w:bCs w:val="0"/>
          <w:color w:val="auto"/>
          <w:sz w:val="24"/>
          <w:szCs w:val="24"/>
          <w:highlight w:val="none"/>
          <w:lang w:val="en-US" w:eastAsia="zh-CN"/>
        </w:rPr>
        <w:t>教学期间实行24小时全天候门（急）诊服务（含所有法定节假日、公休日）。</w:t>
      </w:r>
    </w:p>
    <w:p w14:paraId="0AF7474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0" w:firstLineChars="200"/>
        <w:rPr>
          <w:rStyle w:val="7"/>
          <w:rFonts w:hint="eastAsia" w:ascii="仿宋" w:hAnsi="仿宋" w:eastAsia="仿宋" w:cs="仿宋"/>
          <w:b w:val="0"/>
          <w:bCs w:val="0"/>
          <w:color w:val="auto"/>
          <w:sz w:val="24"/>
          <w:szCs w:val="24"/>
          <w:highlight w:val="none"/>
          <w:lang w:val="en-US" w:eastAsia="zh-CN"/>
        </w:rPr>
      </w:pPr>
      <w:r>
        <w:rPr>
          <w:rStyle w:val="7"/>
          <w:rFonts w:hint="eastAsia" w:ascii="仿宋" w:hAnsi="仿宋" w:eastAsia="仿宋" w:cs="仿宋"/>
          <w:b w:val="0"/>
          <w:bCs w:val="0"/>
          <w:color w:val="auto"/>
          <w:sz w:val="24"/>
          <w:szCs w:val="24"/>
          <w:highlight w:val="none"/>
          <w:lang w:val="en-US" w:eastAsia="zh-CN"/>
        </w:rPr>
        <w:t>（1）门诊服务：8:00-22:00，至少1名医生、1名护士、1名药剂师、1名检验师同时在岗。</w:t>
      </w:r>
    </w:p>
    <w:p w14:paraId="6C70D2A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0" w:firstLineChars="200"/>
        <w:rPr>
          <w:rStyle w:val="7"/>
          <w:rFonts w:hint="eastAsia" w:ascii="仿宋" w:hAnsi="仿宋" w:eastAsia="仿宋" w:cs="仿宋"/>
          <w:b w:val="0"/>
          <w:bCs w:val="0"/>
          <w:color w:val="auto"/>
          <w:sz w:val="24"/>
          <w:szCs w:val="24"/>
          <w:highlight w:val="none"/>
          <w:lang w:val="en-US" w:eastAsia="zh-CN"/>
        </w:rPr>
      </w:pPr>
      <w:r>
        <w:rPr>
          <w:rStyle w:val="7"/>
          <w:rFonts w:hint="eastAsia" w:ascii="仿宋" w:hAnsi="仿宋" w:eastAsia="仿宋" w:cs="仿宋"/>
          <w:b w:val="0"/>
          <w:bCs w:val="0"/>
          <w:color w:val="auto"/>
          <w:sz w:val="24"/>
          <w:szCs w:val="24"/>
          <w:highlight w:val="none"/>
          <w:lang w:val="en-US" w:eastAsia="zh-CN"/>
        </w:rPr>
        <w:t>（2）夜间值班：22:00-次日8:00，至少1名医生、1名护士同时在岗。</w:t>
      </w:r>
    </w:p>
    <w:p w14:paraId="715B09B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0" w:firstLineChars="200"/>
        <w:rPr>
          <w:rStyle w:val="7"/>
          <w:rFonts w:hint="eastAsia" w:ascii="仿宋" w:hAnsi="仿宋" w:eastAsia="仿宋" w:cs="仿宋"/>
          <w:b w:val="0"/>
          <w:bCs w:val="0"/>
          <w:color w:val="auto"/>
          <w:sz w:val="24"/>
          <w:szCs w:val="24"/>
          <w:highlight w:val="none"/>
          <w:lang w:val="en-US" w:eastAsia="zh-CN"/>
        </w:rPr>
      </w:pPr>
      <w:r>
        <w:rPr>
          <w:rStyle w:val="7"/>
          <w:rFonts w:hint="eastAsia" w:ascii="仿宋" w:hAnsi="仿宋" w:eastAsia="仿宋" w:cs="仿宋"/>
          <w:b w:val="0"/>
          <w:bCs w:val="0"/>
          <w:color w:val="auto"/>
          <w:sz w:val="24"/>
          <w:szCs w:val="24"/>
          <w:highlight w:val="none"/>
          <w:lang w:val="en-US" w:eastAsia="zh-CN"/>
        </w:rPr>
        <w:t>（3）寒暑假根据学校安排确认开诊及停诊时间。</w:t>
      </w:r>
    </w:p>
    <w:p w14:paraId="4DBA4B3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2" w:firstLineChars="200"/>
        <w:rPr>
          <w:rStyle w:val="7"/>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4.科室设置：</w:t>
      </w:r>
      <w:r>
        <w:rPr>
          <w:rStyle w:val="7"/>
          <w:rFonts w:hint="eastAsia" w:ascii="仿宋" w:hAnsi="仿宋" w:eastAsia="仿宋" w:cs="仿宋"/>
          <w:b w:val="0"/>
          <w:bCs w:val="0"/>
          <w:color w:val="auto"/>
          <w:sz w:val="24"/>
          <w:szCs w:val="24"/>
          <w:highlight w:val="none"/>
          <w:lang w:val="en-US" w:eastAsia="zh-CN"/>
        </w:rPr>
        <w:t>必须设置预防保健科、内科、医学检验科（临床体液、血液专业）、中医科、中西医结合科等；经卫生行政部门许可及校方同意后，可根据实际医疗需求增设其他专科门诊。</w:t>
      </w:r>
    </w:p>
    <w:p w14:paraId="5F86B6F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2" w:firstLineChars="200"/>
        <w:rPr>
          <w:rStyle w:val="7"/>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5.服务效率：</w:t>
      </w:r>
      <w:r>
        <w:rPr>
          <w:rStyle w:val="7"/>
          <w:rFonts w:hint="eastAsia" w:ascii="仿宋" w:hAnsi="仿宋" w:eastAsia="仿宋" w:cs="仿宋"/>
          <w:b w:val="0"/>
          <w:bCs w:val="0"/>
          <w:color w:val="auto"/>
          <w:sz w:val="24"/>
          <w:szCs w:val="24"/>
          <w:highlight w:val="none"/>
          <w:lang w:val="en-US" w:eastAsia="zh-CN"/>
        </w:rPr>
        <w:t>普通患者就诊排队时间≤30分钟；发病高峰期须合理排班、增派医务人员，确保服务质量。</w:t>
      </w:r>
    </w:p>
    <w:p w14:paraId="4999204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2" w:firstLineChars="200"/>
        <w:rPr>
          <w:rStyle w:val="7"/>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6.诊疗规范：</w:t>
      </w:r>
      <w:r>
        <w:rPr>
          <w:rStyle w:val="7"/>
          <w:rFonts w:hint="eastAsia" w:ascii="仿宋" w:hAnsi="仿宋" w:eastAsia="仿宋" w:cs="仿宋"/>
          <w:b w:val="0"/>
          <w:bCs w:val="0"/>
          <w:color w:val="auto"/>
          <w:sz w:val="24"/>
          <w:szCs w:val="24"/>
          <w:highlight w:val="none"/>
          <w:lang w:val="en-US" w:eastAsia="zh-CN"/>
        </w:rPr>
        <w:t>严格遵守诊疗规范，不得超范围执业；遵循"能口服不注射"的用药原则。</w:t>
      </w:r>
    </w:p>
    <w:p w14:paraId="27DBE72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2" w:firstLineChars="200"/>
        <w:rPr>
          <w:rStyle w:val="7"/>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7.急诊急救：</w:t>
      </w:r>
      <w:r>
        <w:rPr>
          <w:rStyle w:val="7"/>
          <w:rFonts w:hint="eastAsia" w:ascii="仿宋" w:hAnsi="仿宋" w:eastAsia="仿宋" w:cs="仿宋"/>
          <w:b w:val="0"/>
          <w:bCs w:val="0"/>
          <w:color w:val="auto"/>
          <w:sz w:val="24"/>
          <w:szCs w:val="24"/>
          <w:highlight w:val="none"/>
          <w:lang w:val="en-US" w:eastAsia="zh-CN"/>
        </w:rPr>
        <w:t>接到急诊电话后（含夜间）第一时间赶赴现场救治，不得拒诊；对急危重症、传染性疾病、严重外伤等超出救治能力的患者，须立即采取必要抢救措施，第一时间联系120转诊并同步向学校通报情况。</w:t>
      </w:r>
    </w:p>
    <w:p w14:paraId="380D7B9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leftChars="0" w:right="0" w:rightChars="0"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3.2收费与药品管理</w:t>
      </w:r>
    </w:p>
    <w:p w14:paraId="15582ED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2" w:firstLineChars="200"/>
        <w:rPr>
          <w:rStyle w:val="7"/>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1.收费标准：</w:t>
      </w:r>
      <w:r>
        <w:rPr>
          <w:rStyle w:val="7"/>
          <w:rFonts w:hint="eastAsia" w:ascii="仿宋" w:hAnsi="仿宋" w:eastAsia="仿宋" w:cs="仿宋"/>
          <w:b w:val="0"/>
          <w:bCs w:val="0"/>
          <w:color w:val="auto"/>
          <w:sz w:val="24"/>
          <w:szCs w:val="24"/>
          <w:highlight w:val="none"/>
          <w:lang w:val="en-US" w:eastAsia="zh-CN"/>
        </w:rPr>
        <w:t>医疗服务收费不得高于珠海市公立医疗机构政府指导价，药费不得超过医保规定加成比例，不得私自提高价格。</w:t>
      </w:r>
    </w:p>
    <w:p w14:paraId="5A88305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2" w:firstLineChars="20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2.药品管理：</w:t>
      </w:r>
    </w:p>
    <w:p w14:paraId="12C91DD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0" w:firstLineChars="200"/>
        <w:rPr>
          <w:rStyle w:val="7"/>
          <w:rFonts w:hint="eastAsia" w:ascii="仿宋" w:hAnsi="仿宋" w:eastAsia="仿宋" w:cs="仿宋"/>
          <w:b w:val="0"/>
          <w:bCs w:val="0"/>
          <w:color w:val="auto"/>
          <w:sz w:val="24"/>
          <w:szCs w:val="24"/>
          <w:highlight w:val="none"/>
          <w:lang w:val="en-US" w:eastAsia="zh-CN"/>
        </w:rPr>
      </w:pPr>
      <w:r>
        <w:rPr>
          <w:rStyle w:val="7"/>
          <w:rFonts w:hint="eastAsia" w:ascii="仿宋" w:hAnsi="仿宋" w:eastAsia="仿宋" w:cs="仿宋"/>
          <w:b w:val="0"/>
          <w:bCs w:val="0"/>
          <w:color w:val="auto"/>
          <w:sz w:val="24"/>
          <w:szCs w:val="24"/>
          <w:highlight w:val="none"/>
          <w:lang w:val="en-US" w:eastAsia="zh-CN"/>
        </w:rPr>
        <w:t>（1）配备齐全常见病、多发病及急救药品，药品品牌、厂家、价格等材料报学校备案。</w:t>
      </w:r>
    </w:p>
    <w:p w14:paraId="358F9AD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0" w:firstLineChars="200"/>
        <w:rPr>
          <w:rStyle w:val="7"/>
          <w:rFonts w:hint="eastAsia" w:ascii="仿宋" w:hAnsi="仿宋" w:eastAsia="仿宋" w:cs="仿宋"/>
          <w:b w:val="0"/>
          <w:bCs w:val="0"/>
          <w:color w:val="auto"/>
          <w:sz w:val="24"/>
          <w:szCs w:val="24"/>
          <w:highlight w:val="none"/>
          <w:lang w:val="en-US" w:eastAsia="zh-CN"/>
        </w:rPr>
      </w:pPr>
      <w:r>
        <w:rPr>
          <w:rStyle w:val="7"/>
          <w:rFonts w:hint="eastAsia" w:ascii="仿宋" w:hAnsi="仿宋" w:eastAsia="仿宋" w:cs="仿宋"/>
          <w:b w:val="0"/>
          <w:bCs w:val="0"/>
          <w:color w:val="auto"/>
          <w:sz w:val="24"/>
          <w:szCs w:val="24"/>
          <w:highlight w:val="none"/>
          <w:lang w:val="en-US" w:eastAsia="zh-CN"/>
        </w:rPr>
        <w:t>（2）所有药品明码标价，将药品名称、规格、生产厂家、等信息上墙公示。</w:t>
      </w:r>
    </w:p>
    <w:p w14:paraId="5A5FA55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0" w:firstLineChars="200"/>
        <w:rPr>
          <w:rStyle w:val="7"/>
          <w:rFonts w:hint="eastAsia" w:ascii="仿宋" w:hAnsi="仿宋" w:eastAsia="仿宋" w:cs="仿宋"/>
          <w:b w:val="0"/>
          <w:bCs w:val="0"/>
          <w:color w:val="auto"/>
          <w:sz w:val="24"/>
          <w:szCs w:val="24"/>
          <w:highlight w:val="none"/>
          <w:lang w:val="en-US" w:eastAsia="zh-CN"/>
        </w:rPr>
      </w:pPr>
      <w:r>
        <w:rPr>
          <w:rStyle w:val="7"/>
          <w:rFonts w:hint="eastAsia" w:ascii="仿宋" w:hAnsi="仿宋" w:eastAsia="仿宋" w:cs="仿宋"/>
          <w:b w:val="0"/>
          <w:bCs w:val="0"/>
          <w:color w:val="auto"/>
          <w:sz w:val="24"/>
          <w:szCs w:val="24"/>
          <w:highlight w:val="none"/>
          <w:lang w:val="en-US" w:eastAsia="zh-CN"/>
        </w:rPr>
        <w:t>（3）严禁使用、售卖假冒伪劣、过期药品，不得向师生推销保健品。</w:t>
      </w:r>
    </w:p>
    <w:p w14:paraId="6F30B8A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0" w:firstLineChars="200"/>
        <w:rPr>
          <w:rStyle w:val="7"/>
          <w:rFonts w:hint="eastAsia" w:ascii="仿宋" w:hAnsi="仿宋" w:eastAsia="仿宋" w:cs="仿宋"/>
          <w:b w:val="0"/>
          <w:bCs w:val="0"/>
          <w:color w:val="auto"/>
          <w:sz w:val="24"/>
          <w:szCs w:val="24"/>
          <w:highlight w:val="none"/>
          <w:lang w:val="en-US" w:eastAsia="zh-CN"/>
        </w:rPr>
      </w:pPr>
      <w:r>
        <w:rPr>
          <w:rStyle w:val="7"/>
          <w:rFonts w:hint="eastAsia" w:ascii="仿宋" w:hAnsi="仿宋" w:eastAsia="仿宋" w:cs="仿宋"/>
          <w:b w:val="0"/>
          <w:bCs w:val="0"/>
          <w:color w:val="auto"/>
          <w:sz w:val="24"/>
          <w:szCs w:val="24"/>
          <w:highlight w:val="none"/>
          <w:lang w:val="en-US" w:eastAsia="zh-CN"/>
        </w:rPr>
        <w:t>（4）指定专人负责药品管理，建立完整的药品进出库登记台账。</w:t>
      </w:r>
    </w:p>
    <w:p w14:paraId="314D657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leftChars="0" w:right="0" w:rightChars="0" w:firstLine="723" w:firstLineChars="3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3.3公共卫生与健康服务</w:t>
      </w:r>
    </w:p>
    <w:p w14:paraId="58D5E42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2" w:firstLineChars="200"/>
        <w:rPr>
          <w:rStyle w:val="7"/>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1.传染病防控：</w:t>
      </w:r>
      <w:r>
        <w:rPr>
          <w:rStyle w:val="7"/>
          <w:rFonts w:hint="eastAsia" w:ascii="仿宋" w:hAnsi="仿宋" w:eastAsia="仿宋" w:cs="仿宋"/>
          <w:b w:val="0"/>
          <w:bCs w:val="0"/>
          <w:color w:val="auto"/>
          <w:sz w:val="24"/>
          <w:szCs w:val="24"/>
          <w:highlight w:val="none"/>
          <w:lang w:val="en-US" w:eastAsia="zh-CN"/>
        </w:rPr>
        <w:t>建立健全传染病防控体系，落实晨午检、因病缺勤追踪、传染病报告及隔离处置等工作，传染病报告及时率100%；指导传染病源的消毒和防治工作。</w:t>
      </w:r>
    </w:p>
    <w:p w14:paraId="0AF4909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2" w:firstLineChars="20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2.健康体检：</w:t>
      </w:r>
    </w:p>
    <w:p w14:paraId="720E605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0" w:firstLineChars="200"/>
        <w:rPr>
          <w:rStyle w:val="7"/>
          <w:rFonts w:hint="eastAsia" w:ascii="仿宋" w:hAnsi="仿宋" w:eastAsia="仿宋" w:cs="仿宋"/>
          <w:b w:val="0"/>
          <w:bCs w:val="0"/>
          <w:color w:val="auto"/>
          <w:sz w:val="24"/>
          <w:szCs w:val="24"/>
          <w:highlight w:val="none"/>
          <w:lang w:val="en-US" w:eastAsia="zh-CN"/>
        </w:rPr>
      </w:pPr>
      <w:r>
        <w:rPr>
          <w:rStyle w:val="7"/>
          <w:rFonts w:hint="eastAsia" w:ascii="仿宋" w:hAnsi="仿宋" w:eastAsia="仿宋" w:cs="仿宋"/>
          <w:b w:val="0"/>
          <w:bCs w:val="0"/>
          <w:color w:val="auto"/>
          <w:sz w:val="24"/>
          <w:szCs w:val="24"/>
          <w:highlight w:val="none"/>
          <w:lang w:val="en-US" w:eastAsia="zh-CN"/>
        </w:rPr>
        <w:t>（1）承担作为学校新生健康体检唯一单位，配合学生处完成新生入学体检工作。</w:t>
      </w:r>
    </w:p>
    <w:p w14:paraId="5FC3EBB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0" w:firstLineChars="200"/>
        <w:rPr>
          <w:rStyle w:val="7"/>
          <w:rFonts w:hint="eastAsia" w:ascii="仿宋" w:hAnsi="仿宋" w:eastAsia="仿宋" w:cs="仿宋"/>
          <w:b w:val="0"/>
          <w:bCs w:val="0"/>
          <w:color w:val="auto"/>
          <w:sz w:val="24"/>
          <w:szCs w:val="24"/>
          <w:highlight w:val="none"/>
          <w:lang w:val="en-US" w:eastAsia="zh-CN"/>
        </w:rPr>
      </w:pPr>
      <w:r>
        <w:rPr>
          <w:rStyle w:val="7"/>
          <w:rFonts w:hint="eastAsia" w:ascii="仿宋" w:hAnsi="仿宋" w:eastAsia="仿宋" w:cs="仿宋"/>
          <w:b w:val="0"/>
          <w:bCs w:val="0"/>
          <w:color w:val="auto"/>
          <w:sz w:val="24"/>
          <w:szCs w:val="24"/>
          <w:highlight w:val="none"/>
          <w:lang w:val="en-US" w:eastAsia="zh-CN"/>
        </w:rPr>
        <w:t>（2）检查项目包括身高、体重、血压脉搏、血常规、胸片等上级部门或文件要求的体检项目（检查项目以学生处为准）。</w:t>
      </w:r>
    </w:p>
    <w:p w14:paraId="29E70B4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0" w:firstLineChars="200"/>
        <w:rPr>
          <w:rStyle w:val="7"/>
          <w:rFonts w:hint="eastAsia" w:ascii="仿宋" w:hAnsi="仿宋" w:eastAsia="仿宋" w:cs="仿宋"/>
          <w:b w:val="0"/>
          <w:bCs w:val="0"/>
          <w:color w:val="auto"/>
          <w:sz w:val="24"/>
          <w:szCs w:val="24"/>
          <w:highlight w:val="none"/>
          <w:lang w:val="en-US" w:eastAsia="zh-CN"/>
        </w:rPr>
      </w:pPr>
      <w:r>
        <w:rPr>
          <w:rStyle w:val="7"/>
          <w:rFonts w:hint="eastAsia" w:ascii="仿宋" w:hAnsi="仿宋" w:eastAsia="仿宋" w:cs="仿宋"/>
          <w:b w:val="0"/>
          <w:bCs w:val="0"/>
          <w:color w:val="auto"/>
          <w:sz w:val="24"/>
          <w:szCs w:val="24"/>
          <w:highlight w:val="none"/>
          <w:lang w:val="en-US" w:eastAsia="zh-CN"/>
        </w:rPr>
        <w:t>（3）体检结束后15天内出具体检报告，为所有学生建立电子健康档案并供校方查询。</w:t>
      </w:r>
    </w:p>
    <w:p w14:paraId="594CA56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2" w:firstLineChars="200"/>
        <w:rPr>
          <w:rStyle w:val="7"/>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3.健康教育：</w:t>
      </w:r>
      <w:r>
        <w:rPr>
          <w:rStyle w:val="7"/>
          <w:rFonts w:hint="eastAsia" w:ascii="仿宋" w:hAnsi="仿宋" w:eastAsia="仿宋" w:cs="仿宋"/>
          <w:b w:val="0"/>
          <w:bCs w:val="0"/>
          <w:color w:val="auto"/>
          <w:sz w:val="24"/>
          <w:szCs w:val="24"/>
          <w:highlight w:val="none"/>
          <w:lang w:val="en-US" w:eastAsia="zh-CN"/>
        </w:rPr>
        <w:t>每学期至少开展1次全校性健康知识讲座，协助学校开展爱国卫生运动及大学生健康教育课程；张贴和派发健康宣传资料。</w:t>
      </w:r>
    </w:p>
    <w:p w14:paraId="1E4DD07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2" w:firstLineChars="200"/>
        <w:rPr>
          <w:rStyle w:val="7"/>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4.医保服务：</w:t>
      </w:r>
      <w:r>
        <w:rPr>
          <w:rStyle w:val="7"/>
          <w:rFonts w:hint="eastAsia" w:ascii="仿宋" w:hAnsi="仿宋" w:eastAsia="仿宋" w:cs="仿宋"/>
          <w:b w:val="0"/>
          <w:bCs w:val="0"/>
          <w:color w:val="auto"/>
          <w:sz w:val="24"/>
          <w:szCs w:val="24"/>
          <w:highlight w:val="none"/>
          <w:lang w:val="en-US" w:eastAsia="zh-CN"/>
        </w:rPr>
        <w:t>保持医保定点医疗机构资质，配合学校做好学生医保宣传、报账及转诊工作；严格遵守医保局各项规定。</w:t>
      </w:r>
    </w:p>
    <w:p w14:paraId="0FB5841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241"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3.4医疗</w:t>
      </w:r>
      <w:r>
        <w:rPr>
          <w:rFonts w:hint="eastAsia" w:ascii="仿宋" w:hAnsi="仿宋" w:eastAsia="仿宋" w:cs="仿宋"/>
          <w:color w:val="auto"/>
          <w:sz w:val="24"/>
          <w:szCs w:val="24"/>
          <w:highlight w:val="none"/>
        </w:rPr>
        <w:t>保障与应急处置</w:t>
      </w:r>
    </w:p>
    <w:p w14:paraId="5D94A44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2" w:firstLineChars="200"/>
        <w:rPr>
          <w:rStyle w:val="7"/>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1.免费医疗保障：</w:t>
      </w:r>
      <w:r>
        <w:rPr>
          <w:rStyle w:val="7"/>
          <w:rFonts w:hint="eastAsia" w:ascii="仿宋" w:hAnsi="仿宋" w:eastAsia="仿宋" w:cs="仿宋"/>
          <w:b w:val="0"/>
          <w:bCs w:val="0"/>
          <w:color w:val="auto"/>
          <w:sz w:val="24"/>
          <w:szCs w:val="24"/>
          <w:highlight w:val="none"/>
          <w:lang w:val="en-US" w:eastAsia="zh-CN"/>
        </w:rPr>
        <w:t>须无偿为教学期间开展的新生入学、军训、运动会、各类国家级考试（英语等级、自主招生、计算机等级等）、大型招聘会、全校性集会等需医疗保障的活动，提供全程现场医疗值守及突发伤病应急处置服务。保障期间产生的治疗费、抢救费、少量紧急处置药品费等费用，均由中标人承担，不得向学校或师生另行收取。对于军训等需设置多个保障点位的大型活动，若现有派驻人员无法满足实际需求，中标人须立即增派医护人员到场，确保各点位同步保障到位。寒暑假期间开展的各类活动医疗保障费用，由双方另行协商确定。寒暑假期间的医疗保障费用由双方另行协商。</w:t>
      </w:r>
    </w:p>
    <w:p w14:paraId="2CEED97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2" w:firstLineChars="200"/>
        <w:rPr>
          <w:rStyle w:val="7"/>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2.突发公共卫生事件：</w:t>
      </w:r>
      <w:r>
        <w:rPr>
          <w:rStyle w:val="7"/>
          <w:rFonts w:hint="eastAsia" w:ascii="仿宋" w:hAnsi="仿宋" w:eastAsia="仿宋" w:cs="仿宋"/>
          <w:b w:val="0"/>
          <w:bCs w:val="0"/>
          <w:color w:val="auto"/>
          <w:sz w:val="24"/>
          <w:szCs w:val="24"/>
          <w:highlight w:val="none"/>
          <w:lang w:val="en-US" w:eastAsia="zh-CN"/>
        </w:rPr>
        <w:t>制定完善的突发公共卫生事件应急预案，每学期至少组织1次应急演练；指导并协助学校开展预防宣传工作，提供专业建议，积极配合学校开展应急处置。</w:t>
      </w:r>
    </w:p>
    <w:p w14:paraId="139147C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2" w:firstLineChars="200"/>
        <w:rPr>
          <w:rStyle w:val="7"/>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3.医疗垃圾处理：</w:t>
      </w:r>
      <w:r>
        <w:rPr>
          <w:rStyle w:val="7"/>
          <w:rFonts w:hint="eastAsia" w:ascii="仿宋" w:hAnsi="仿宋" w:eastAsia="仿宋" w:cs="仿宋"/>
          <w:b w:val="0"/>
          <w:bCs w:val="0"/>
          <w:color w:val="auto"/>
          <w:sz w:val="24"/>
          <w:szCs w:val="24"/>
          <w:highlight w:val="none"/>
          <w:lang w:val="en-US" w:eastAsia="zh-CN"/>
        </w:rPr>
        <w:t>按国家及上级卫生行政部门要求规范处理医疗垃圾，建立完整的处理台账，所有医疗垃圾处理费用（含疫情流行期间校内产生的各类医疗垃圾）由中标人承担。</w:t>
      </w:r>
    </w:p>
    <w:p w14:paraId="14923AD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2" w:firstLineChars="200"/>
        <w:rPr>
          <w:rStyle w:val="7"/>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4.卫生监管配合：</w:t>
      </w:r>
      <w:r>
        <w:rPr>
          <w:rStyle w:val="7"/>
          <w:rFonts w:hint="eastAsia" w:ascii="仿宋" w:hAnsi="仿宋" w:eastAsia="仿宋" w:cs="仿宋"/>
          <w:b w:val="0"/>
          <w:bCs w:val="0"/>
          <w:color w:val="auto"/>
          <w:sz w:val="24"/>
          <w:szCs w:val="24"/>
          <w:highlight w:val="none"/>
          <w:lang w:val="en-US" w:eastAsia="zh-CN"/>
        </w:rPr>
        <w:t>主动接受卫生行政部门的监督检查，确保每次检查合格；因检查不合格产生的所有处罚及整改费用由中标人承担，须积极整改直至全面符合要求。</w:t>
      </w:r>
    </w:p>
    <w:p w14:paraId="228250E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5投诉处理要求</w:t>
      </w:r>
    </w:p>
    <w:p w14:paraId="5A75F16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firstLine="480" w:firstLineChars="200"/>
        <w:rPr>
          <w:rStyle w:val="7"/>
          <w:rFonts w:hint="eastAsia" w:ascii="仿宋" w:hAnsi="仿宋" w:eastAsia="仿宋" w:cs="仿宋"/>
          <w:b w:val="0"/>
          <w:bCs w:val="0"/>
          <w:color w:val="auto"/>
          <w:sz w:val="24"/>
          <w:szCs w:val="24"/>
          <w:highlight w:val="none"/>
          <w:lang w:val="en-US" w:eastAsia="zh-CN"/>
        </w:rPr>
      </w:pPr>
      <w:r>
        <w:rPr>
          <w:rStyle w:val="7"/>
          <w:rFonts w:hint="eastAsia" w:ascii="仿宋" w:hAnsi="仿宋" w:eastAsia="仿宋" w:cs="仿宋"/>
          <w:b w:val="0"/>
          <w:bCs w:val="0"/>
          <w:color w:val="auto"/>
          <w:sz w:val="24"/>
          <w:szCs w:val="24"/>
          <w:highlight w:val="none"/>
          <w:lang w:val="en-US" w:eastAsia="zh-CN"/>
        </w:rPr>
        <w:t>建立健全投诉处理机制，收到师生投诉后须积极主动沟通，实事求是解决问题，不得推诿扯皮，不得与师生发生冲突矛盾；投诉须在24小时内响应，处理率100%。</w:t>
      </w:r>
    </w:p>
    <w:p w14:paraId="4DCB083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四、人员配置硬性要求</w:t>
      </w:r>
    </w:p>
    <w:p w14:paraId="7D5F39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中标人须派驻不少于12名专职在岗人员，所有人员须持有有效法定从业资格证书，原则上每个学期人员固定，如有人员变动需第一时间书面告知学校。</w:t>
      </w:r>
    </w:p>
    <w:tbl>
      <w:tblPr>
        <w:tblStyle w:val="5"/>
        <w:tblW w:w="0" w:type="auto"/>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167"/>
        <w:gridCol w:w="929"/>
        <w:gridCol w:w="6270"/>
      </w:tblGrid>
      <w:tr w14:paraId="49B9D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Header/>
          <w:tblCellSpacing w:w="15" w:type="dxa"/>
        </w:trPr>
        <w:tc>
          <w:tcPr>
            <w:tcW w:w="1122" w:type="dxa"/>
            <w:shd w:val="clear" w:color="auto" w:fill="auto"/>
            <w:vAlign w:val="center"/>
          </w:tcPr>
          <w:p w14:paraId="35E9318E">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岗位</w:t>
            </w:r>
          </w:p>
        </w:tc>
        <w:tc>
          <w:tcPr>
            <w:tcW w:w="899" w:type="dxa"/>
            <w:shd w:val="clear" w:color="auto" w:fill="auto"/>
            <w:vAlign w:val="center"/>
          </w:tcPr>
          <w:p w14:paraId="795C6D17">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最低人数</w:t>
            </w:r>
          </w:p>
        </w:tc>
        <w:tc>
          <w:tcPr>
            <w:tcW w:w="6225" w:type="dxa"/>
            <w:shd w:val="clear" w:color="auto" w:fill="auto"/>
            <w:vAlign w:val="center"/>
          </w:tcPr>
          <w:p w14:paraId="3440FB20">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资质与经验要求</w:t>
            </w:r>
          </w:p>
        </w:tc>
      </w:tr>
      <w:tr w14:paraId="271A3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1122" w:type="dxa"/>
            <w:shd w:val="clear" w:color="auto" w:fill="auto"/>
            <w:vAlign w:val="center"/>
          </w:tcPr>
          <w:p w14:paraId="35912D69">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医生</w:t>
            </w:r>
          </w:p>
        </w:tc>
        <w:tc>
          <w:tcPr>
            <w:tcW w:w="899" w:type="dxa"/>
            <w:shd w:val="clear" w:color="auto" w:fill="auto"/>
            <w:vAlign w:val="center"/>
          </w:tcPr>
          <w:p w14:paraId="7189962E">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4</w:t>
            </w:r>
          </w:p>
        </w:tc>
        <w:tc>
          <w:tcPr>
            <w:tcW w:w="6225" w:type="dxa"/>
            <w:shd w:val="clear" w:color="auto" w:fill="auto"/>
            <w:vAlign w:val="center"/>
          </w:tcPr>
          <w:p w14:paraId="747D9CA9">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b w:val="0"/>
                <w:bCs w:val="0"/>
                <w:color w:val="auto"/>
                <w:kern w:val="0"/>
                <w:sz w:val="24"/>
                <w:szCs w:val="24"/>
                <w:highlight w:val="none"/>
                <w:lang w:val="en-US" w:eastAsia="zh-CN" w:bidi="ar"/>
              </w:rPr>
              <w:t>执业医师资格，</w:t>
            </w:r>
            <w:r>
              <w:rPr>
                <w:rStyle w:val="7"/>
                <w:rFonts w:hint="eastAsia" w:ascii="仿宋" w:hAnsi="仿宋" w:eastAsia="仿宋" w:cs="仿宋"/>
                <w:b w:val="0"/>
                <w:bCs w:val="0"/>
                <w:color w:val="auto"/>
                <w:kern w:val="0"/>
                <w:sz w:val="24"/>
                <w:szCs w:val="24"/>
                <w:highlight w:val="none"/>
                <w:lang w:val="en-US" w:eastAsia="zh-CN" w:bidi="ar"/>
              </w:rPr>
              <w:t>2年以上临床工作经验</w:t>
            </w:r>
            <w:r>
              <w:rPr>
                <w:rFonts w:hint="eastAsia" w:ascii="仿宋" w:hAnsi="仿宋" w:eastAsia="仿宋" w:cs="仿宋"/>
                <w:b w:val="0"/>
                <w:bCs w:val="0"/>
                <w:color w:val="auto"/>
                <w:kern w:val="0"/>
                <w:sz w:val="24"/>
                <w:szCs w:val="24"/>
                <w:highlight w:val="none"/>
                <w:lang w:val="en-US" w:eastAsia="zh-CN" w:bidi="ar"/>
              </w:rPr>
              <w:t>；至少2名具有中级及以上职称；涵盖内科、全科、中医科等专业</w:t>
            </w:r>
          </w:p>
        </w:tc>
      </w:tr>
      <w:tr w14:paraId="5A185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1122" w:type="dxa"/>
            <w:shd w:val="clear" w:color="auto" w:fill="auto"/>
            <w:vAlign w:val="center"/>
          </w:tcPr>
          <w:p w14:paraId="5C6368B7">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护士</w:t>
            </w:r>
          </w:p>
        </w:tc>
        <w:tc>
          <w:tcPr>
            <w:tcW w:w="899" w:type="dxa"/>
            <w:shd w:val="clear" w:color="auto" w:fill="auto"/>
            <w:vAlign w:val="center"/>
          </w:tcPr>
          <w:p w14:paraId="0CBB6B0D">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5</w:t>
            </w:r>
          </w:p>
        </w:tc>
        <w:tc>
          <w:tcPr>
            <w:tcW w:w="6225" w:type="dxa"/>
            <w:shd w:val="clear" w:color="auto" w:fill="auto"/>
            <w:vAlign w:val="center"/>
          </w:tcPr>
          <w:p w14:paraId="7082E7D1">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kern w:val="0"/>
                <w:sz w:val="24"/>
                <w:szCs w:val="24"/>
                <w:highlight w:val="none"/>
                <w:lang w:val="en-US" w:eastAsia="zh-CN" w:bidi="ar"/>
              </w:rPr>
              <w:t>护士执业资格，</w:t>
            </w:r>
            <w:r>
              <w:rPr>
                <w:rStyle w:val="7"/>
                <w:rFonts w:hint="eastAsia" w:ascii="仿宋" w:hAnsi="仿宋" w:eastAsia="仿宋" w:cs="仿宋"/>
                <w:b w:val="0"/>
                <w:bCs w:val="0"/>
                <w:color w:val="auto"/>
                <w:kern w:val="0"/>
                <w:sz w:val="24"/>
                <w:szCs w:val="24"/>
                <w:highlight w:val="none"/>
                <w:lang w:val="en-US" w:eastAsia="zh-CN" w:bidi="ar"/>
              </w:rPr>
              <w:t>2年以上临床护理经验</w:t>
            </w:r>
          </w:p>
        </w:tc>
      </w:tr>
      <w:tr w14:paraId="4DE6D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1122" w:type="dxa"/>
            <w:shd w:val="clear" w:color="auto" w:fill="auto"/>
            <w:vAlign w:val="center"/>
          </w:tcPr>
          <w:p w14:paraId="44F46B6D">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检验师</w:t>
            </w:r>
          </w:p>
        </w:tc>
        <w:tc>
          <w:tcPr>
            <w:tcW w:w="899" w:type="dxa"/>
            <w:shd w:val="clear" w:color="auto" w:fill="auto"/>
            <w:vAlign w:val="center"/>
          </w:tcPr>
          <w:p w14:paraId="3D60E129">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w:t>
            </w:r>
          </w:p>
        </w:tc>
        <w:tc>
          <w:tcPr>
            <w:tcW w:w="6225" w:type="dxa"/>
            <w:shd w:val="clear" w:color="auto" w:fill="auto"/>
            <w:vAlign w:val="center"/>
          </w:tcPr>
          <w:p w14:paraId="2BBA8309">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检验师及以上职称，具备相应执业资格</w:t>
            </w:r>
          </w:p>
        </w:tc>
      </w:tr>
      <w:tr w14:paraId="26B12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1122" w:type="dxa"/>
            <w:shd w:val="clear" w:color="auto" w:fill="auto"/>
            <w:vAlign w:val="center"/>
          </w:tcPr>
          <w:p w14:paraId="0227130B">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药剂师</w:t>
            </w:r>
          </w:p>
        </w:tc>
        <w:tc>
          <w:tcPr>
            <w:tcW w:w="899" w:type="dxa"/>
            <w:shd w:val="clear" w:color="auto" w:fill="auto"/>
            <w:vAlign w:val="center"/>
          </w:tcPr>
          <w:p w14:paraId="04721466">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2</w:t>
            </w:r>
          </w:p>
        </w:tc>
        <w:tc>
          <w:tcPr>
            <w:tcW w:w="6225" w:type="dxa"/>
            <w:shd w:val="clear" w:color="auto" w:fill="auto"/>
            <w:vAlign w:val="center"/>
          </w:tcPr>
          <w:p w14:paraId="298C5102">
            <w:pPr>
              <w:keepNext w:val="0"/>
              <w:keepLines w:val="0"/>
              <w:widowControl/>
              <w:suppressLineNumbers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执业药师资格，2年以上药房管理经验</w:t>
            </w:r>
          </w:p>
        </w:tc>
      </w:tr>
    </w:tbl>
    <w:p w14:paraId="2B9B94B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2" w:firstLineChars="20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补充要求：</w:t>
      </w:r>
    </w:p>
    <w:p w14:paraId="5106AC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所有人员须服从学校统一管理，遵守学校各项规章制度</w:t>
      </w:r>
      <w:r>
        <w:rPr>
          <w:rFonts w:hint="eastAsia" w:ascii="仿宋" w:hAnsi="仿宋" w:eastAsia="仿宋" w:cs="仿宋"/>
          <w:color w:val="auto"/>
          <w:sz w:val="24"/>
          <w:szCs w:val="24"/>
          <w:highlight w:val="none"/>
          <w:lang w:val="en-US" w:eastAsia="zh-CN"/>
        </w:rPr>
        <w:t>等</w:t>
      </w:r>
      <w:r>
        <w:rPr>
          <w:rFonts w:hint="eastAsia" w:ascii="仿宋" w:hAnsi="仿宋" w:eastAsia="仿宋" w:cs="仿宋"/>
          <w:color w:val="auto"/>
          <w:sz w:val="24"/>
          <w:szCs w:val="24"/>
          <w:highlight w:val="none"/>
          <w:lang w:eastAsia="zh-CN"/>
        </w:rPr>
        <w:t>。</w:t>
      </w:r>
    </w:p>
    <w:p w14:paraId="1247EE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中标人负责办理医务人员执业注册变更、医保定点、执业校验等所有与医疗相关的手续</w:t>
      </w:r>
      <w:r>
        <w:rPr>
          <w:rFonts w:hint="eastAsia" w:ascii="仿宋" w:hAnsi="仿宋" w:eastAsia="仿宋" w:cs="仿宋"/>
          <w:color w:val="auto"/>
          <w:sz w:val="24"/>
          <w:szCs w:val="24"/>
          <w:highlight w:val="none"/>
          <w:lang w:eastAsia="zh-CN"/>
        </w:rPr>
        <w:t>。</w:t>
      </w:r>
    </w:p>
    <w:p w14:paraId="5473479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中标人须为所有派驻人员购买社会保险</w:t>
      </w:r>
      <w:r>
        <w:rPr>
          <w:rFonts w:hint="eastAsia" w:ascii="仿宋" w:hAnsi="仿宋" w:eastAsia="仿宋" w:cs="仿宋"/>
          <w:color w:val="auto"/>
          <w:sz w:val="24"/>
          <w:szCs w:val="24"/>
          <w:highlight w:val="none"/>
          <w:lang w:val="en-US" w:eastAsia="zh-CN"/>
        </w:rPr>
        <w:t>等</w:t>
      </w:r>
      <w:r>
        <w:rPr>
          <w:rFonts w:hint="eastAsia" w:ascii="仿宋" w:hAnsi="仿宋" w:eastAsia="仿宋" w:cs="仿宋"/>
          <w:color w:val="auto"/>
          <w:sz w:val="24"/>
          <w:szCs w:val="24"/>
          <w:highlight w:val="none"/>
        </w:rPr>
        <w:t>，劳动人事纠纷全部由中标人负责</w:t>
      </w:r>
      <w:r>
        <w:rPr>
          <w:rFonts w:hint="eastAsia" w:ascii="仿宋" w:hAnsi="仿宋" w:eastAsia="仿宋" w:cs="仿宋"/>
          <w:color w:val="auto"/>
          <w:sz w:val="24"/>
          <w:szCs w:val="24"/>
          <w:highlight w:val="none"/>
          <w:lang w:eastAsia="zh-CN"/>
        </w:rPr>
        <w:t>。</w:t>
      </w:r>
    </w:p>
    <w:p w14:paraId="64A178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如需组建医疗队伍，建议优先录用原在岗医护人员，保障服务平稳衔</w:t>
      </w:r>
      <w:r>
        <w:rPr>
          <w:rFonts w:hint="eastAsia" w:ascii="仿宋" w:hAnsi="仿宋" w:eastAsia="仿宋" w:cs="仿宋"/>
          <w:color w:val="auto"/>
          <w:sz w:val="24"/>
          <w:szCs w:val="24"/>
          <w:highlight w:val="none"/>
          <w:lang w:eastAsia="zh-CN"/>
        </w:rPr>
        <w:t>接。</w:t>
      </w:r>
    </w:p>
    <w:p w14:paraId="4454F8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所有医护人员须具备主动服务意识，服务态度热情耐心</w:t>
      </w:r>
      <w:r>
        <w:rPr>
          <w:rFonts w:hint="eastAsia" w:ascii="仿宋" w:hAnsi="仿宋" w:eastAsia="仿宋" w:cs="仿宋"/>
          <w:color w:val="auto"/>
          <w:sz w:val="24"/>
          <w:szCs w:val="24"/>
          <w:highlight w:val="none"/>
          <w:lang w:eastAsia="zh-CN"/>
        </w:rPr>
        <w:t>。</w:t>
      </w:r>
    </w:p>
    <w:p w14:paraId="1CE8C84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五、设备与物资配置要求</w:t>
      </w:r>
    </w:p>
    <w:p w14:paraId="558DECE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2" w:firstLineChars="200"/>
        <w:rPr>
          <w:rFonts w:hint="eastAsia" w:ascii="仿宋" w:hAnsi="仿宋" w:eastAsia="仿宋" w:cs="仿宋"/>
          <w:color w:val="auto"/>
          <w:sz w:val="24"/>
          <w:szCs w:val="24"/>
          <w:highlight w:val="none"/>
          <w:lang w:eastAsia="zh-CN"/>
        </w:rPr>
      </w:pPr>
      <w:r>
        <w:rPr>
          <w:rStyle w:val="7"/>
          <w:rFonts w:hint="eastAsia" w:ascii="仿宋" w:hAnsi="仿宋" w:eastAsia="仿宋" w:cs="仿宋"/>
          <w:b/>
          <w:bCs/>
          <w:color w:val="auto"/>
          <w:sz w:val="24"/>
          <w:szCs w:val="24"/>
          <w:highlight w:val="none"/>
          <w:lang w:val="en-US" w:eastAsia="zh-CN"/>
        </w:rPr>
        <w:t>1.</w:t>
      </w:r>
      <w:r>
        <w:rPr>
          <w:rStyle w:val="7"/>
          <w:rFonts w:hint="eastAsia" w:ascii="仿宋" w:hAnsi="仿宋" w:eastAsia="仿宋" w:cs="仿宋"/>
          <w:b/>
          <w:bCs/>
          <w:color w:val="auto"/>
          <w:sz w:val="24"/>
          <w:szCs w:val="24"/>
          <w:highlight w:val="none"/>
        </w:rPr>
        <w:t>设备购置</w:t>
      </w:r>
      <w:r>
        <w:rPr>
          <w:rFonts w:hint="eastAsia" w:ascii="仿宋" w:hAnsi="仿宋" w:eastAsia="仿宋" w:cs="仿宋"/>
          <w:color w:val="auto"/>
          <w:sz w:val="24"/>
          <w:szCs w:val="24"/>
          <w:highlight w:val="none"/>
        </w:rPr>
        <w:t>：中标人须自行全额购置、配备全套诊疗、急救、检验、消毒、防疫及办公设备，包括但不限于：</w:t>
      </w:r>
      <w:r>
        <w:rPr>
          <w:rFonts w:hint="eastAsia" w:ascii="仿宋" w:hAnsi="仿宋" w:eastAsia="仿宋" w:cs="仿宋"/>
          <w:color w:val="auto"/>
          <w:sz w:val="24"/>
          <w:szCs w:val="24"/>
          <w:highlight w:val="none"/>
          <w:lang w:val="en-US" w:eastAsia="zh-CN"/>
        </w:rPr>
        <w:t>紫外线消毒灯、血压计、听诊器、氧气袋、氧气瓶、急救箱、血球分析仪、除颤仪、心电图机、诊疗床、药柜、诊疗椅、雾化器、担架床、轮椅</w:t>
      </w:r>
      <w:r>
        <w:rPr>
          <w:rFonts w:hint="eastAsia" w:ascii="仿宋" w:hAnsi="仿宋" w:eastAsia="仿宋" w:cs="仿宋"/>
          <w:color w:val="auto"/>
          <w:sz w:val="24"/>
          <w:szCs w:val="24"/>
          <w:highlight w:val="none"/>
        </w:rPr>
        <w:t>等</w:t>
      </w:r>
      <w:r>
        <w:rPr>
          <w:rFonts w:hint="eastAsia" w:ascii="仿宋" w:hAnsi="仿宋" w:eastAsia="仿宋" w:cs="仿宋"/>
          <w:color w:val="auto"/>
          <w:sz w:val="24"/>
          <w:szCs w:val="24"/>
          <w:highlight w:val="none"/>
          <w:lang w:eastAsia="zh-CN"/>
        </w:rPr>
        <w:t>。</w:t>
      </w:r>
    </w:p>
    <w:p w14:paraId="291B84F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2" w:firstLineChars="200"/>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2.设备标准：</w:t>
      </w:r>
      <w:r>
        <w:rPr>
          <w:rFonts w:hint="eastAsia" w:ascii="仿宋" w:hAnsi="仿宋" w:eastAsia="仿宋" w:cs="仿宋"/>
          <w:color w:val="auto"/>
          <w:sz w:val="24"/>
          <w:szCs w:val="24"/>
          <w:highlight w:val="none"/>
        </w:rPr>
        <w:t>所有医疗设备须符合国家相关卫生、质量及计量标准，并按规定定期进行维修、保养和校验</w:t>
      </w:r>
      <w:r>
        <w:rPr>
          <w:rFonts w:hint="eastAsia" w:ascii="仿宋" w:hAnsi="仿宋" w:eastAsia="仿宋" w:cs="仿宋"/>
          <w:color w:val="auto"/>
          <w:sz w:val="24"/>
          <w:szCs w:val="24"/>
          <w:highlight w:val="none"/>
          <w:lang w:eastAsia="zh-CN"/>
        </w:rPr>
        <w:t>。</w:t>
      </w:r>
    </w:p>
    <w:p w14:paraId="78C7C22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2" w:firstLineChars="200"/>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3.物资储备：</w:t>
      </w:r>
      <w:r>
        <w:rPr>
          <w:rFonts w:hint="eastAsia" w:ascii="仿宋" w:hAnsi="仿宋" w:eastAsia="仿宋" w:cs="仿宋"/>
          <w:color w:val="auto"/>
          <w:sz w:val="24"/>
          <w:szCs w:val="24"/>
          <w:highlight w:val="none"/>
        </w:rPr>
        <w:t>建立应急医疗物资储备库，建议储备满足</w:t>
      </w: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rPr>
        <w:t>天使用量的应急药品和防护物资</w:t>
      </w:r>
      <w:r>
        <w:rPr>
          <w:rFonts w:hint="eastAsia" w:ascii="仿宋" w:hAnsi="仿宋" w:eastAsia="仿宋" w:cs="仿宋"/>
          <w:color w:val="auto"/>
          <w:sz w:val="24"/>
          <w:szCs w:val="24"/>
          <w:highlight w:val="none"/>
          <w:lang w:eastAsia="zh-CN"/>
        </w:rPr>
        <w:t>。</w:t>
      </w:r>
    </w:p>
    <w:p w14:paraId="08D6CB9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2" w:firstLineChars="200"/>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设备处置：</w:t>
      </w:r>
      <w:r>
        <w:rPr>
          <w:rFonts w:hint="eastAsia" w:ascii="仿宋" w:hAnsi="仿宋" w:eastAsia="仿宋" w:cs="仿宋"/>
          <w:color w:val="auto"/>
          <w:sz w:val="24"/>
          <w:szCs w:val="24"/>
          <w:highlight w:val="none"/>
        </w:rPr>
        <w:t>合同期满后1周内，中标人可自行撤回所有可移动设备及器材，库存药品由中标人自行处理；属于学校的设备资产归学校所有</w:t>
      </w:r>
      <w:r>
        <w:rPr>
          <w:rFonts w:hint="eastAsia" w:ascii="仿宋" w:hAnsi="仿宋" w:eastAsia="仿宋" w:cs="仿宋"/>
          <w:color w:val="auto"/>
          <w:sz w:val="24"/>
          <w:szCs w:val="24"/>
          <w:highlight w:val="none"/>
          <w:lang w:eastAsia="zh-CN"/>
        </w:rPr>
        <w:t>。</w:t>
      </w:r>
    </w:p>
    <w:p w14:paraId="400DB86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六、运营与权责要求</w:t>
      </w:r>
    </w:p>
    <w:p w14:paraId="1C35F40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2" w:firstLineChars="200"/>
        <w:rPr>
          <w:rFonts w:hint="eastAsia" w:ascii="仿宋" w:hAnsi="仿宋" w:eastAsia="仿宋" w:cs="仿宋"/>
          <w:color w:val="auto"/>
          <w:sz w:val="24"/>
          <w:szCs w:val="24"/>
          <w:highlight w:val="none"/>
          <w:lang w:eastAsia="zh-CN"/>
        </w:rPr>
      </w:pPr>
      <w:r>
        <w:rPr>
          <w:rStyle w:val="7"/>
          <w:rFonts w:hint="eastAsia" w:ascii="仿宋" w:hAnsi="仿宋" w:eastAsia="仿宋" w:cs="仿宋"/>
          <w:b/>
          <w:bCs/>
          <w:color w:val="auto"/>
          <w:sz w:val="24"/>
          <w:szCs w:val="24"/>
          <w:highlight w:val="none"/>
          <w:lang w:val="en-US" w:eastAsia="zh-CN"/>
        </w:rPr>
        <w:t>1.</w:t>
      </w:r>
      <w:r>
        <w:rPr>
          <w:rStyle w:val="7"/>
          <w:rFonts w:hint="eastAsia" w:ascii="仿宋" w:hAnsi="仿宋" w:eastAsia="仿宋" w:cs="仿宋"/>
          <w:b/>
          <w:bCs/>
          <w:color w:val="auto"/>
          <w:sz w:val="24"/>
          <w:szCs w:val="24"/>
          <w:highlight w:val="none"/>
        </w:rPr>
        <w:t>责任承担</w:t>
      </w:r>
      <w:r>
        <w:rPr>
          <w:rFonts w:hint="eastAsia" w:ascii="仿宋" w:hAnsi="仿宋" w:eastAsia="仿宋" w:cs="仿宋"/>
          <w:color w:val="auto"/>
          <w:sz w:val="24"/>
          <w:szCs w:val="24"/>
          <w:highlight w:val="none"/>
        </w:rPr>
        <w:t>：托管期间，卫生服务中心发生的一切医疗事故、医</w:t>
      </w:r>
      <w:r>
        <w:rPr>
          <w:rFonts w:hint="eastAsia" w:ascii="仿宋" w:hAnsi="仿宋" w:eastAsia="仿宋" w:cs="仿宋"/>
          <w:color w:val="auto"/>
          <w:sz w:val="24"/>
          <w:szCs w:val="24"/>
          <w:highlight w:val="none"/>
        </w:rPr>
        <w:t>疗损害赔偿、消防安全事故</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售卖假药、过期药物</w:t>
      </w:r>
      <w:r>
        <w:rPr>
          <w:rFonts w:hint="eastAsia" w:ascii="仿宋" w:hAnsi="仿宋" w:eastAsia="仿宋" w:cs="仿宋"/>
          <w:color w:val="auto"/>
          <w:sz w:val="24"/>
          <w:szCs w:val="24"/>
          <w:highlight w:val="none"/>
        </w:rPr>
        <w:t>及其他法律、经济责任，均由中标人全额承担；对校方造成损失的，须予以全额赔偿</w:t>
      </w:r>
      <w:r>
        <w:rPr>
          <w:rFonts w:hint="eastAsia" w:ascii="仿宋" w:hAnsi="仿宋" w:eastAsia="仿宋" w:cs="仿宋"/>
          <w:color w:val="auto"/>
          <w:sz w:val="24"/>
          <w:szCs w:val="24"/>
          <w:highlight w:val="none"/>
          <w:lang w:eastAsia="zh-CN"/>
        </w:rPr>
        <w:t>。</w:t>
      </w:r>
    </w:p>
    <w:p w14:paraId="65FEE17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2" w:firstLineChars="200"/>
        <w:rPr>
          <w:rFonts w:hint="eastAsia" w:ascii="仿宋" w:hAnsi="仿宋" w:eastAsia="仿宋" w:cs="仿宋"/>
          <w:color w:val="auto"/>
          <w:sz w:val="24"/>
          <w:szCs w:val="24"/>
          <w:highlight w:val="none"/>
          <w:lang w:eastAsia="zh-CN"/>
        </w:rPr>
      </w:pPr>
      <w:r>
        <w:rPr>
          <w:rStyle w:val="7"/>
          <w:rFonts w:hint="eastAsia" w:ascii="仿宋" w:hAnsi="仿宋" w:eastAsia="仿宋" w:cs="仿宋"/>
          <w:b/>
          <w:bCs/>
          <w:color w:val="auto"/>
          <w:sz w:val="24"/>
          <w:szCs w:val="24"/>
          <w:highlight w:val="none"/>
          <w:lang w:val="en-US" w:eastAsia="zh-CN"/>
        </w:rPr>
        <w:t>2.</w:t>
      </w:r>
      <w:r>
        <w:rPr>
          <w:rStyle w:val="7"/>
          <w:rFonts w:hint="eastAsia" w:ascii="仿宋" w:hAnsi="仿宋" w:eastAsia="仿宋" w:cs="仿宋"/>
          <w:b/>
          <w:bCs/>
          <w:color w:val="auto"/>
          <w:sz w:val="24"/>
          <w:szCs w:val="24"/>
          <w:highlight w:val="none"/>
        </w:rPr>
        <w:t>监督检查</w:t>
      </w:r>
      <w:r>
        <w:rPr>
          <w:rFonts w:hint="eastAsia" w:ascii="仿宋" w:hAnsi="仿宋" w:eastAsia="仿宋" w:cs="仿宋"/>
          <w:color w:val="auto"/>
          <w:sz w:val="24"/>
          <w:szCs w:val="24"/>
          <w:highlight w:val="none"/>
        </w:rPr>
        <w:t>：校方有权对医疗管理、服务质量、药品质量、收费标准、医疗设备等进行随时监督检查，中标人须积极配合并及时整改</w:t>
      </w:r>
      <w:r>
        <w:rPr>
          <w:rFonts w:hint="eastAsia" w:ascii="仿宋" w:hAnsi="仿宋" w:eastAsia="仿宋" w:cs="仿宋"/>
          <w:color w:val="auto"/>
          <w:sz w:val="24"/>
          <w:szCs w:val="24"/>
          <w:highlight w:val="none"/>
          <w:lang w:eastAsia="zh-CN"/>
        </w:rPr>
        <w:t>。</w:t>
      </w:r>
    </w:p>
    <w:p w14:paraId="6C7BD59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2" w:firstLineChars="200"/>
        <w:rPr>
          <w:rFonts w:hint="eastAsia" w:ascii="仿宋" w:hAnsi="仿宋" w:eastAsia="仿宋" w:cs="仿宋"/>
          <w:color w:val="auto"/>
          <w:sz w:val="24"/>
          <w:szCs w:val="24"/>
          <w:highlight w:val="none"/>
          <w:lang w:eastAsia="zh-CN"/>
        </w:rPr>
      </w:pPr>
      <w:r>
        <w:rPr>
          <w:rStyle w:val="7"/>
          <w:rFonts w:hint="eastAsia" w:ascii="仿宋" w:hAnsi="仿宋" w:eastAsia="仿宋" w:cs="仿宋"/>
          <w:b/>
          <w:bCs/>
          <w:color w:val="auto"/>
          <w:sz w:val="24"/>
          <w:szCs w:val="24"/>
          <w:highlight w:val="none"/>
          <w:lang w:val="en-US" w:eastAsia="zh-CN"/>
        </w:rPr>
        <w:t>3.</w:t>
      </w:r>
      <w:r>
        <w:rPr>
          <w:rStyle w:val="7"/>
          <w:rFonts w:hint="eastAsia" w:ascii="仿宋" w:hAnsi="仿宋" w:eastAsia="仿宋" w:cs="仿宋"/>
          <w:b/>
          <w:bCs/>
          <w:color w:val="auto"/>
          <w:sz w:val="24"/>
          <w:szCs w:val="24"/>
          <w:highlight w:val="none"/>
        </w:rPr>
        <w:t>消防安全</w:t>
      </w:r>
      <w:r>
        <w:rPr>
          <w:rFonts w:hint="eastAsia" w:ascii="仿宋" w:hAnsi="仿宋" w:eastAsia="仿宋" w:cs="仿宋"/>
          <w:color w:val="auto"/>
          <w:sz w:val="24"/>
          <w:szCs w:val="24"/>
          <w:highlight w:val="none"/>
        </w:rPr>
        <w:t>：中标人作为卫生服务中心消防安全责任人，对消防安全负全责</w:t>
      </w:r>
      <w:r>
        <w:rPr>
          <w:rFonts w:hint="eastAsia" w:ascii="仿宋" w:hAnsi="仿宋" w:eastAsia="仿宋" w:cs="仿宋"/>
          <w:color w:val="auto"/>
          <w:sz w:val="24"/>
          <w:szCs w:val="24"/>
          <w:highlight w:val="none"/>
          <w:lang w:eastAsia="zh-CN"/>
        </w:rPr>
        <w:t>。</w:t>
      </w:r>
    </w:p>
    <w:p w14:paraId="5E77D1A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2" w:firstLineChars="200"/>
        <w:rPr>
          <w:rFonts w:hint="eastAsia" w:ascii="仿宋" w:hAnsi="仿宋" w:eastAsia="仿宋" w:cs="仿宋"/>
          <w:color w:val="auto"/>
          <w:sz w:val="24"/>
          <w:szCs w:val="24"/>
          <w:highlight w:val="none"/>
        </w:rPr>
      </w:pPr>
      <w:r>
        <w:rPr>
          <w:rStyle w:val="7"/>
          <w:rFonts w:hint="eastAsia" w:ascii="仿宋" w:hAnsi="仿宋" w:eastAsia="仿宋" w:cs="仿宋"/>
          <w:b/>
          <w:bCs/>
          <w:color w:val="auto"/>
          <w:sz w:val="24"/>
          <w:szCs w:val="24"/>
          <w:highlight w:val="none"/>
          <w:lang w:val="en-US" w:eastAsia="zh-CN"/>
        </w:rPr>
        <w:t>4.</w:t>
      </w:r>
      <w:r>
        <w:rPr>
          <w:rStyle w:val="7"/>
          <w:rFonts w:hint="eastAsia" w:ascii="仿宋" w:hAnsi="仿宋" w:eastAsia="仿宋" w:cs="仿宋"/>
          <w:b/>
          <w:bCs/>
          <w:color w:val="auto"/>
          <w:sz w:val="24"/>
          <w:szCs w:val="24"/>
          <w:highlight w:val="none"/>
        </w:rPr>
        <w:t>资料备案</w:t>
      </w:r>
      <w:r>
        <w:rPr>
          <w:rFonts w:hint="eastAsia" w:ascii="仿宋" w:hAnsi="仿宋" w:eastAsia="仿宋" w:cs="仿宋"/>
          <w:color w:val="auto"/>
          <w:sz w:val="24"/>
          <w:szCs w:val="24"/>
          <w:highlight w:val="none"/>
        </w:rPr>
        <w:t>：中标人进场后1个月内，须向校方提交以下资料备案并上墙公示：</w:t>
      </w:r>
    </w:p>
    <w:p w14:paraId="483C7A7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医护人员花名册、资格证书、学历毕业证、执业注册在校区卫生服务中心的执业证</w:t>
      </w:r>
      <w:r>
        <w:rPr>
          <w:rFonts w:hint="eastAsia" w:ascii="仿宋" w:hAnsi="仿宋" w:eastAsia="仿宋" w:cs="仿宋"/>
          <w:color w:val="auto"/>
          <w:sz w:val="24"/>
          <w:szCs w:val="24"/>
          <w:highlight w:val="none"/>
          <w:lang w:eastAsia="zh-CN"/>
        </w:rPr>
        <w:t>。</w:t>
      </w:r>
    </w:p>
    <w:p w14:paraId="16C3D81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配备的重点医疗器械和抢救设施清单表</w:t>
      </w:r>
      <w:r>
        <w:rPr>
          <w:rFonts w:hint="eastAsia" w:ascii="仿宋" w:hAnsi="仿宋" w:eastAsia="仿宋" w:cs="仿宋"/>
          <w:color w:val="auto"/>
          <w:sz w:val="24"/>
          <w:szCs w:val="24"/>
          <w:highlight w:val="none"/>
          <w:lang w:eastAsia="zh-CN"/>
        </w:rPr>
        <w:t>。</w:t>
      </w:r>
    </w:p>
    <w:p w14:paraId="58FE7BE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卫生服务中心常用药品和急救药品清单（含名称、规格、生产厂家、有效期）</w:t>
      </w:r>
      <w:r>
        <w:rPr>
          <w:rFonts w:hint="eastAsia" w:ascii="仿宋" w:hAnsi="仿宋" w:eastAsia="仿宋" w:cs="仿宋"/>
          <w:color w:val="auto"/>
          <w:sz w:val="24"/>
          <w:szCs w:val="24"/>
          <w:highlight w:val="none"/>
          <w:lang w:eastAsia="zh-CN"/>
        </w:rPr>
        <w:t>。</w:t>
      </w:r>
    </w:p>
    <w:p w14:paraId="5B24548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各岗位职责、年度培训计划、医疗安全和消防管理机制</w:t>
      </w:r>
      <w:r>
        <w:rPr>
          <w:rFonts w:hint="eastAsia" w:ascii="仿宋" w:hAnsi="仿宋" w:eastAsia="仿宋" w:cs="仿宋"/>
          <w:color w:val="auto"/>
          <w:sz w:val="24"/>
          <w:szCs w:val="24"/>
          <w:highlight w:val="none"/>
          <w:lang w:eastAsia="zh-CN"/>
        </w:rPr>
        <w:t>。</w:t>
      </w:r>
    </w:p>
    <w:p w14:paraId="5BF3F6D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急重症患者、疑似传染病患者应急处置及追踪登记流程、突发疫情应急预案</w:t>
      </w:r>
      <w:r>
        <w:rPr>
          <w:rFonts w:hint="eastAsia" w:ascii="仿宋" w:hAnsi="仿宋" w:eastAsia="仿宋" w:cs="仿宋"/>
          <w:color w:val="auto"/>
          <w:sz w:val="24"/>
          <w:szCs w:val="24"/>
          <w:highlight w:val="none"/>
          <w:lang w:eastAsia="zh-CN"/>
        </w:rPr>
        <w:t>。</w:t>
      </w:r>
    </w:p>
    <w:p w14:paraId="0EA44DD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2"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七、投标单位自定义服务方案</w:t>
      </w:r>
      <w:r>
        <w:rPr>
          <w:rFonts w:hint="eastAsia" w:ascii="仿宋" w:hAnsi="仿宋" w:eastAsia="仿宋" w:cs="仿宋"/>
          <w:color w:val="auto"/>
          <w:kern w:val="0"/>
          <w:sz w:val="24"/>
          <w:szCs w:val="24"/>
          <w:highlight w:val="none"/>
          <w:lang w:val="en-US" w:eastAsia="zh-CN" w:bidi="ar"/>
        </w:rPr>
        <w:t>（本部分由投标人自主编制，3000字左右）</w:t>
      </w:r>
    </w:p>
    <w:p w14:paraId="54173A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投标人须结合校园医疗特点和师生健康需求，编制具有针对性和可操作性的服务方案，至少包含以下内容：</w:t>
      </w:r>
    </w:p>
    <w:p w14:paraId="2D85F3E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2" w:firstLineChars="200"/>
        <w:rPr>
          <w:rFonts w:hint="eastAsia" w:ascii="仿宋" w:hAnsi="仿宋" w:eastAsia="仿宋" w:cs="仿宋"/>
          <w:color w:val="auto"/>
          <w:sz w:val="24"/>
          <w:szCs w:val="24"/>
          <w:highlight w:val="none"/>
          <w:lang w:eastAsia="zh-CN"/>
        </w:rPr>
      </w:pPr>
      <w:r>
        <w:rPr>
          <w:rStyle w:val="7"/>
          <w:rFonts w:hint="eastAsia" w:ascii="仿宋" w:hAnsi="仿宋" w:eastAsia="仿宋" w:cs="仿宋"/>
          <w:b/>
          <w:bCs/>
          <w:color w:val="auto"/>
          <w:sz w:val="24"/>
          <w:szCs w:val="24"/>
          <w:highlight w:val="none"/>
          <w:lang w:val="en-US" w:eastAsia="zh-CN"/>
        </w:rPr>
        <w:t>1.</w:t>
      </w:r>
      <w:r>
        <w:rPr>
          <w:rStyle w:val="7"/>
          <w:rFonts w:hint="eastAsia" w:ascii="仿宋" w:hAnsi="仿宋" w:eastAsia="仿宋" w:cs="仿宋"/>
          <w:b/>
          <w:bCs/>
          <w:color w:val="auto"/>
          <w:sz w:val="24"/>
          <w:szCs w:val="24"/>
          <w:highlight w:val="none"/>
        </w:rPr>
        <w:t>总体运营思路</w:t>
      </w:r>
      <w:r>
        <w:rPr>
          <w:rFonts w:hint="eastAsia" w:ascii="仿宋" w:hAnsi="仿宋" w:eastAsia="仿宋" w:cs="仿宋"/>
          <w:color w:val="auto"/>
          <w:sz w:val="24"/>
          <w:szCs w:val="24"/>
          <w:highlight w:val="none"/>
        </w:rPr>
        <w:t>：对本项目的理解、运营目标、管理体系和质量控制措施</w:t>
      </w:r>
      <w:r>
        <w:rPr>
          <w:rFonts w:hint="eastAsia" w:ascii="仿宋" w:hAnsi="仿宋" w:eastAsia="仿宋" w:cs="仿宋"/>
          <w:color w:val="auto"/>
          <w:sz w:val="24"/>
          <w:szCs w:val="24"/>
          <w:highlight w:val="none"/>
          <w:lang w:eastAsia="zh-CN"/>
        </w:rPr>
        <w:t>。</w:t>
      </w:r>
    </w:p>
    <w:p w14:paraId="4A980A4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2" w:firstLineChars="200"/>
        <w:rPr>
          <w:rFonts w:hint="eastAsia" w:ascii="仿宋" w:hAnsi="仿宋" w:eastAsia="仿宋" w:cs="仿宋"/>
          <w:color w:val="auto"/>
          <w:sz w:val="24"/>
          <w:szCs w:val="24"/>
          <w:highlight w:val="none"/>
          <w:lang w:eastAsia="zh-CN"/>
        </w:rPr>
      </w:pPr>
      <w:r>
        <w:rPr>
          <w:rStyle w:val="7"/>
          <w:rFonts w:hint="eastAsia" w:ascii="仿宋" w:hAnsi="仿宋" w:eastAsia="仿宋" w:cs="仿宋"/>
          <w:b/>
          <w:bCs/>
          <w:color w:val="auto"/>
          <w:sz w:val="24"/>
          <w:szCs w:val="24"/>
          <w:highlight w:val="none"/>
          <w:lang w:val="en-US" w:eastAsia="zh-CN"/>
        </w:rPr>
        <w:t>2.</w:t>
      </w:r>
      <w:r>
        <w:rPr>
          <w:rStyle w:val="7"/>
          <w:rFonts w:hint="eastAsia" w:ascii="仿宋" w:hAnsi="仿宋" w:eastAsia="仿宋" w:cs="仿宋"/>
          <w:b/>
          <w:bCs/>
          <w:color w:val="auto"/>
          <w:sz w:val="24"/>
          <w:szCs w:val="24"/>
          <w:highlight w:val="none"/>
        </w:rPr>
        <w:t>特色服务方案</w:t>
      </w:r>
      <w:r>
        <w:rPr>
          <w:rFonts w:hint="eastAsia" w:ascii="仿宋" w:hAnsi="仿宋" w:eastAsia="仿宋" w:cs="仿宋"/>
          <w:color w:val="auto"/>
          <w:sz w:val="24"/>
          <w:szCs w:val="24"/>
          <w:highlight w:val="none"/>
        </w:rPr>
        <w:t>：围绕师生健康需求提供增值服务，包括但不限于：中医理疗、急救技能培训、慢性病管理、季节性健康防护、师生健康关怀、心理健康疏导等</w:t>
      </w:r>
      <w:r>
        <w:rPr>
          <w:rFonts w:hint="eastAsia" w:ascii="仿宋" w:hAnsi="仿宋" w:eastAsia="仿宋" w:cs="仿宋"/>
          <w:color w:val="auto"/>
          <w:sz w:val="24"/>
          <w:szCs w:val="24"/>
          <w:highlight w:val="none"/>
          <w:lang w:eastAsia="zh-CN"/>
        </w:rPr>
        <w:t>。</w:t>
      </w:r>
    </w:p>
    <w:p w14:paraId="6099DF8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2" w:firstLineChars="200"/>
        <w:rPr>
          <w:rFonts w:hint="eastAsia" w:ascii="仿宋" w:hAnsi="仿宋" w:eastAsia="仿宋" w:cs="仿宋"/>
          <w:color w:val="auto"/>
          <w:sz w:val="24"/>
          <w:szCs w:val="24"/>
          <w:highlight w:val="none"/>
          <w:lang w:val="en-US" w:eastAsia="zh-CN"/>
        </w:rPr>
      </w:pPr>
      <w:r>
        <w:rPr>
          <w:rStyle w:val="7"/>
          <w:rFonts w:hint="eastAsia" w:ascii="仿宋" w:hAnsi="仿宋" w:eastAsia="仿宋" w:cs="仿宋"/>
          <w:b/>
          <w:bCs/>
          <w:color w:val="auto"/>
          <w:sz w:val="24"/>
          <w:szCs w:val="24"/>
          <w:highlight w:val="none"/>
          <w:lang w:val="en-US" w:eastAsia="zh-CN"/>
        </w:rPr>
        <w:t>3.</w:t>
      </w:r>
      <w:r>
        <w:rPr>
          <w:rStyle w:val="7"/>
          <w:rFonts w:hint="eastAsia" w:ascii="仿宋" w:hAnsi="仿宋" w:eastAsia="仿宋" w:cs="仿宋"/>
          <w:b/>
          <w:bCs/>
          <w:color w:val="auto"/>
          <w:sz w:val="24"/>
          <w:szCs w:val="24"/>
          <w:highlight w:val="none"/>
        </w:rPr>
        <w:t>高峰期服务保障方案</w:t>
      </w:r>
      <w:r>
        <w:rPr>
          <w:rFonts w:hint="eastAsia" w:ascii="仿宋" w:hAnsi="仿宋" w:eastAsia="仿宋" w:cs="仿宋"/>
          <w:color w:val="auto"/>
          <w:sz w:val="24"/>
          <w:szCs w:val="24"/>
          <w:highlight w:val="none"/>
        </w:rPr>
        <w:t>：针对流感季、考试周等就诊高峰期的人员排班、服务流程优化措施</w:t>
      </w:r>
      <w:r>
        <w:rPr>
          <w:rFonts w:hint="eastAsia" w:ascii="仿宋" w:hAnsi="仿宋" w:eastAsia="仿宋" w:cs="仿宋"/>
          <w:color w:val="auto"/>
          <w:sz w:val="24"/>
          <w:szCs w:val="24"/>
          <w:highlight w:val="none"/>
          <w:lang w:eastAsia="zh-CN"/>
        </w:rPr>
        <w:t>。</w:t>
      </w:r>
    </w:p>
    <w:p w14:paraId="433E6D0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2" w:firstLineChars="200"/>
        <w:rPr>
          <w:rFonts w:hint="eastAsia" w:ascii="仿宋" w:hAnsi="仿宋" w:eastAsia="仿宋" w:cs="仿宋"/>
          <w:color w:val="auto"/>
          <w:sz w:val="24"/>
          <w:szCs w:val="24"/>
          <w:highlight w:val="none"/>
          <w:lang w:eastAsia="zh-CN"/>
        </w:rPr>
      </w:pPr>
      <w:r>
        <w:rPr>
          <w:rStyle w:val="7"/>
          <w:rFonts w:hint="eastAsia" w:ascii="仿宋" w:hAnsi="仿宋" w:eastAsia="仿宋" w:cs="仿宋"/>
          <w:b/>
          <w:bCs/>
          <w:color w:val="auto"/>
          <w:sz w:val="24"/>
          <w:szCs w:val="24"/>
          <w:highlight w:val="none"/>
          <w:lang w:val="en-US" w:eastAsia="zh-CN"/>
        </w:rPr>
        <w:t>4.</w:t>
      </w:r>
      <w:r>
        <w:rPr>
          <w:rStyle w:val="7"/>
          <w:rFonts w:hint="eastAsia" w:ascii="仿宋" w:hAnsi="仿宋" w:eastAsia="仿宋" w:cs="仿宋"/>
          <w:b/>
          <w:bCs/>
          <w:color w:val="auto"/>
          <w:sz w:val="24"/>
          <w:szCs w:val="24"/>
          <w:highlight w:val="none"/>
        </w:rPr>
        <w:t>人员培训与管理方案</w:t>
      </w:r>
      <w:r>
        <w:rPr>
          <w:rFonts w:hint="eastAsia" w:ascii="仿宋" w:hAnsi="仿宋" w:eastAsia="仿宋" w:cs="仿宋"/>
          <w:color w:val="auto"/>
          <w:sz w:val="24"/>
          <w:szCs w:val="24"/>
          <w:highlight w:val="none"/>
        </w:rPr>
        <w:t>：医护人员岗前培训、定期业务培训、医德医风教育计划</w:t>
      </w:r>
      <w:r>
        <w:rPr>
          <w:rFonts w:hint="eastAsia" w:ascii="仿宋" w:hAnsi="仿宋" w:eastAsia="仿宋" w:cs="仿宋"/>
          <w:color w:val="auto"/>
          <w:sz w:val="24"/>
          <w:szCs w:val="24"/>
          <w:highlight w:val="none"/>
          <w:lang w:eastAsia="zh-CN"/>
        </w:rPr>
        <w:t>。</w:t>
      </w:r>
    </w:p>
    <w:p w14:paraId="0B806DB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2" w:firstLineChars="200"/>
        <w:rPr>
          <w:rFonts w:hint="eastAsia" w:ascii="仿宋" w:hAnsi="仿宋" w:eastAsia="仿宋" w:cs="仿宋"/>
          <w:color w:val="auto"/>
          <w:sz w:val="24"/>
          <w:szCs w:val="24"/>
          <w:highlight w:val="none"/>
          <w:lang w:eastAsia="zh-CN"/>
        </w:rPr>
      </w:pPr>
      <w:r>
        <w:rPr>
          <w:rStyle w:val="7"/>
          <w:rFonts w:hint="eastAsia" w:ascii="仿宋" w:hAnsi="仿宋" w:eastAsia="仿宋" w:cs="仿宋"/>
          <w:b/>
          <w:bCs/>
          <w:color w:val="auto"/>
          <w:sz w:val="24"/>
          <w:szCs w:val="24"/>
          <w:highlight w:val="none"/>
          <w:lang w:val="en-US" w:eastAsia="zh-CN"/>
        </w:rPr>
        <w:t>5.</w:t>
      </w:r>
      <w:r>
        <w:rPr>
          <w:rStyle w:val="7"/>
          <w:rFonts w:hint="eastAsia" w:ascii="仿宋" w:hAnsi="仿宋" w:eastAsia="仿宋" w:cs="仿宋"/>
          <w:b/>
          <w:bCs/>
          <w:color w:val="auto"/>
          <w:sz w:val="24"/>
          <w:szCs w:val="24"/>
          <w:highlight w:val="none"/>
        </w:rPr>
        <w:t>医疗质量持续改进方案</w:t>
      </w:r>
      <w:r>
        <w:rPr>
          <w:rFonts w:hint="eastAsia" w:ascii="仿宋" w:hAnsi="仿宋" w:eastAsia="仿宋" w:cs="仿宋"/>
          <w:color w:val="auto"/>
          <w:sz w:val="24"/>
          <w:szCs w:val="24"/>
          <w:highlight w:val="none"/>
        </w:rPr>
        <w:t>：内部质控机制、差错防范措施、持续改进计划</w:t>
      </w:r>
      <w:r>
        <w:rPr>
          <w:rFonts w:hint="eastAsia" w:ascii="仿宋" w:hAnsi="仿宋" w:eastAsia="仿宋" w:cs="仿宋"/>
          <w:color w:val="auto"/>
          <w:sz w:val="24"/>
          <w:szCs w:val="24"/>
          <w:highlight w:val="none"/>
          <w:lang w:eastAsia="zh-CN"/>
        </w:rPr>
        <w:t>。</w:t>
      </w:r>
    </w:p>
    <w:p w14:paraId="059E233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2" w:firstLineChars="200"/>
        <w:rPr>
          <w:rFonts w:hint="eastAsia" w:ascii="仿宋" w:hAnsi="仿宋" w:eastAsia="仿宋" w:cs="仿宋"/>
          <w:color w:val="auto"/>
          <w:sz w:val="24"/>
          <w:szCs w:val="24"/>
          <w:highlight w:val="none"/>
          <w:lang w:eastAsia="zh-CN"/>
        </w:rPr>
      </w:pPr>
      <w:r>
        <w:rPr>
          <w:rStyle w:val="7"/>
          <w:rFonts w:hint="eastAsia" w:ascii="仿宋" w:hAnsi="仿宋" w:eastAsia="仿宋" w:cs="仿宋"/>
          <w:b/>
          <w:bCs/>
          <w:color w:val="auto"/>
          <w:sz w:val="24"/>
          <w:szCs w:val="24"/>
          <w:highlight w:val="none"/>
          <w:lang w:val="en-US" w:eastAsia="zh-CN"/>
        </w:rPr>
        <w:t>6.</w:t>
      </w:r>
      <w:r>
        <w:rPr>
          <w:rStyle w:val="7"/>
          <w:rFonts w:hint="eastAsia" w:ascii="仿宋" w:hAnsi="仿宋" w:eastAsia="仿宋" w:cs="仿宋"/>
          <w:b/>
          <w:bCs/>
          <w:color w:val="auto"/>
          <w:sz w:val="24"/>
          <w:szCs w:val="24"/>
          <w:highlight w:val="none"/>
        </w:rPr>
        <w:t>师生沟通与反馈机制</w:t>
      </w:r>
      <w:r>
        <w:rPr>
          <w:rFonts w:hint="eastAsia" w:ascii="仿宋" w:hAnsi="仿宋" w:eastAsia="仿宋" w:cs="仿宋"/>
          <w:color w:val="auto"/>
          <w:sz w:val="24"/>
          <w:szCs w:val="24"/>
          <w:highlight w:val="none"/>
        </w:rPr>
        <w:t>：除投诉处理外，主动收集师生意见建议并持续优化服务的措施</w:t>
      </w:r>
      <w:r>
        <w:rPr>
          <w:rFonts w:hint="eastAsia" w:ascii="仿宋" w:hAnsi="仿宋" w:eastAsia="仿宋" w:cs="仿宋"/>
          <w:color w:val="auto"/>
          <w:sz w:val="24"/>
          <w:szCs w:val="24"/>
          <w:highlight w:val="none"/>
          <w:lang w:eastAsia="zh-CN"/>
        </w:rPr>
        <w:t>。</w:t>
      </w:r>
    </w:p>
    <w:p w14:paraId="03219FB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八、服务费用与支付方式</w:t>
      </w:r>
    </w:p>
    <w:p w14:paraId="1D47806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2"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8.1服务费用构成</w:t>
      </w:r>
    </w:p>
    <w:p w14:paraId="34C1A20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本项目服务费采</w:t>
      </w:r>
      <w:r>
        <w:rPr>
          <w:rFonts w:hint="eastAsia" w:ascii="仿宋" w:hAnsi="仿宋" w:eastAsia="仿宋" w:cs="仿宋"/>
          <w:b w:val="0"/>
          <w:bCs w:val="0"/>
          <w:color w:val="auto"/>
          <w:sz w:val="24"/>
          <w:szCs w:val="24"/>
          <w:highlight w:val="none"/>
        </w:rPr>
        <w:t>用</w:t>
      </w:r>
      <w:r>
        <w:rPr>
          <w:rStyle w:val="7"/>
          <w:rFonts w:hint="eastAsia" w:ascii="仿宋" w:hAnsi="仿宋" w:eastAsia="仿宋" w:cs="仿宋"/>
          <w:b w:val="0"/>
          <w:bCs w:val="0"/>
          <w:color w:val="auto"/>
          <w:sz w:val="24"/>
          <w:szCs w:val="24"/>
          <w:highlight w:val="none"/>
        </w:rPr>
        <w:t>总价包干</w:t>
      </w:r>
      <w:r>
        <w:rPr>
          <w:rFonts w:hint="eastAsia" w:ascii="仿宋" w:hAnsi="仿宋" w:eastAsia="仿宋" w:cs="仿宋"/>
          <w:b w:val="0"/>
          <w:bCs w:val="0"/>
          <w:color w:val="auto"/>
          <w:sz w:val="24"/>
          <w:szCs w:val="24"/>
          <w:highlight w:val="none"/>
        </w:rPr>
        <w:t>方</w:t>
      </w:r>
      <w:r>
        <w:rPr>
          <w:rFonts w:hint="eastAsia" w:ascii="仿宋" w:hAnsi="仿宋" w:eastAsia="仿宋" w:cs="仿宋"/>
          <w:color w:val="auto"/>
          <w:sz w:val="24"/>
          <w:szCs w:val="24"/>
          <w:highlight w:val="none"/>
        </w:rPr>
        <w:t>式，由投标人在投标文件中自主报价，报价应包含中标人履行本合同所有义务所需的全部费用，包括但不限于：人员薪酬、社保、福利、药品采购、医疗器械购置与维护、医疗废物处理、办公费用、税费等所有运营成本</w:t>
      </w:r>
      <w:r>
        <w:rPr>
          <w:rFonts w:hint="eastAsia" w:ascii="仿宋" w:hAnsi="仿宋" w:eastAsia="仿宋" w:cs="仿宋"/>
          <w:color w:val="auto"/>
          <w:sz w:val="24"/>
          <w:szCs w:val="24"/>
          <w:highlight w:val="none"/>
          <w:lang w:eastAsia="zh-CN"/>
        </w:rPr>
        <w:t>。</w:t>
      </w:r>
    </w:p>
    <w:p w14:paraId="75ABD5F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学校支付的部分服务费包含在投标总价中，具体金额以中标人的投标报价为准</w:t>
      </w:r>
      <w:r>
        <w:rPr>
          <w:rFonts w:hint="eastAsia" w:ascii="仿宋" w:hAnsi="仿宋" w:eastAsia="仿宋" w:cs="仿宋"/>
          <w:color w:val="auto"/>
          <w:sz w:val="24"/>
          <w:szCs w:val="24"/>
          <w:highlight w:val="none"/>
          <w:lang w:eastAsia="zh-CN"/>
        </w:rPr>
        <w:t>。</w:t>
      </w:r>
    </w:p>
    <w:p w14:paraId="14BA1AB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新生入学体检费另行</w:t>
      </w:r>
      <w:r>
        <w:rPr>
          <w:rFonts w:hint="eastAsia" w:ascii="仿宋" w:hAnsi="仿宋" w:eastAsia="仿宋" w:cs="仿宋"/>
          <w:color w:val="auto"/>
          <w:sz w:val="24"/>
          <w:szCs w:val="24"/>
          <w:highlight w:val="none"/>
          <w:lang w:val="en-US" w:eastAsia="zh-CN"/>
        </w:rPr>
        <w:t>与学生处</w:t>
      </w:r>
      <w:r>
        <w:rPr>
          <w:rFonts w:hint="eastAsia" w:ascii="仿宋" w:hAnsi="仿宋" w:eastAsia="仿宋" w:cs="仿宋"/>
          <w:color w:val="auto"/>
          <w:sz w:val="24"/>
          <w:szCs w:val="24"/>
          <w:highlight w:val="none"/>
        </w:rPr>
        <w:t>结算</w:t>
      </w:r>
      <w:r>
        <w:rPr>
          <w:rFonts w:hint="eastAsia" w:ascii="仿宋" w:hAnsi="仿宋" w:eastAsia="仿宋" w:cs="仿宋"/>
          <w:color w:val="auto"/>
          <w:sz w:val="24"/>
          <w:szCs w:val="24"/>
          <w:highlight w:val="none"/>
          <w:lang w:eastAsia="zh-CN"/>
        </w:rPr>
        <w:t>。</w:t>
      </w:r>
    </w:p>
    <w:p w14:paraId="6FBD7A2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2"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8.2支付方式</w:t>
      </w:r>
    </w:p>
    <w:p w14:paraId="2BB498E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本</w:t>
      </w:r>
      <w:r>
        <w:rPr>
          <w:rFonts w:hint="eastAsia" w:ascii="仿宋" w:hAnsi="仿宋" w:eastAsia="仿宋" w:cs="仿宋"/>
          <w:color w:val="auto"/>
          <w:sz w:val="24"/>
          <w:szCs w:val="24"/>
          <w:highlight w:val="none"/>
          <w:lang w:val="en-US" w:eastAsia="zh-CN"/>
        </w:rPr>
        <w:t>项目服务费按学期支付，每学年分两次支付。</w:t>
      </w:r>
    </w:p>
    <w:p w14:paraId="6EDA7A9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第一学期服务费：在第一学期结束后15个工作日内，根据第一学期考核结果支付</w:t>
      </w:r>
      <w:r>
        <w:rPr>
          <w:rFonts w:hint="eastAsia" w:ascii="仿宋" w:hAnsi="仿宋" w:eastAsia="仿宋" w:cs="仿宋"/>
          <w:color w:val="auto"/>
          <w:sz w:val="24"/>
          <w:szCs w:val="24"/>
          <w:highlight w:val="none"/>
          <w:lang w:eastAsia="zh-CN"/>
        </w:rPr>
        <w:t>。</w:t>
      </w:r>
    </w:p>
    <w:p w14:paraId="63CAFBE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第二学期服务费：在合同期满后15个工作日内，根据第二学期考核结果及年度综合考核结果支付</w:t>
      </w:r>
      <w:r>
        <w:rPr>
          <w:rFonts w:hint="eastAsia" w:ascii="仿宋" w:hAnsi="仿宋" w:eastAsia="仿宋" w:cs="仿宋"/>
          <w:color w:val="auto"/>
          <w:sz w:val="24"/>
          <w:szCs w:val="24"/>
          <w:highlight w:val="none"/>
          <w:lang w:eastAsia="zh-CN"/>
        </w:rPr>
        <w:t>。</w:t>
      </w:r>
    </w:p>
    <w:p w14:paraId="3E78FA4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支付金额=中标人投标报价÷2×（1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考核扣款比例）</w:t>
      </w:r>
    </w:p>
    <w:p w14:paraId="41D8FFB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新生入学体检费在体检完成并提交体检报告后30个工作日内，按实际体检人数结算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具体以学生处实际为准</w:t>
      </w:r>
      <w:r>
        <w:rPr>
          <w:rFonts w:hint="eastAsia" w:ascii="仿宋" w:hAnsi="仿宋" w:eastAsia="仿宋" w:cs="仿宋"/>
          <w:color w:val="auto"/>
          <w:sz w:val="24"/>
          <w:szCs w:val="24"/>
          <w:highlight w:val="none"/>
          <w:lang w:eastAsia="zh-CN"/>
        </w:rPr>
        <w:t>）。</w:t>
      </w:r>
    </w:p>
    <w:p w14:paraId="1630C5A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九、商务与考核要求</w:t>
      </w:r>
    </w:p>
    <w:p w14:paraId="7A6DA31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2" w:firstLineChars="200"/>
        <w:rPr>
          <w:rFonts w:hint="eastAsia" w:ascii="仿宋" w:hAnsi="仿宋" w:eastAsia="仿宋" w:cs="仿宋"/>
          <w:color w:val="auto"/>
          <w:sz w:val="24"/>
          <w:szCs w:val="24"/>
          <w:highlight w:val="none"/>
          <w:lang w:eastAsia="zh-CN"/>
        </w:rPr>
      </w:pPr>
      <w:r>
        <w:rPr>
          <w:rStyle w:val="7"/>
          <w:rFonts w:hint="eastAsia" w:ascii="仿宋" w:hAnsi="仿宋" w:eastAsia="仿宋" w:cs="仿宋"/>
          <w:b/>
          <w:bCs/>
          <w:color w:val="auto"/>
          <w:sz w:val="24"/>
          <w:szCs w:val="24"/>
          <w:highlight w:val="none"/>
          <w:lang w:val="en-US" w:eastAsia="zh-CN"/>
        </w:rPr>
        <w:t>1.</w:t>
      </w:r>
      <w:r>
        <w:rPr>
          <w:rStyle w:val="7"/>
          <w:rFonts w:hint="eastAsia" w:ascii="仿宋" w:hAnsi="仿宋" w:eastAsia="仿宋" w:cs="仿宋"/>
          <w:b/>
          <w:bCs/>
          <w:color w:val="auto"/>
          <w:sz w:val="24"/>
          <w:szCs w:val="24"/>
          <w:highlight w:val="none"/>
        </w:rPr>
        <w:t>付款方式</w:t>
      </w:r>
      <w:r>
        <w:rPr>
          <w:rFonts w:hint="eastAsia" w:ascii="仿宋" w:hAnsi="仿宋" w:eastAsia="仿宋" w:cs="仿宋"/>
          <w:color w:val="auto"/>
          <w:sz w:val="24"/>
          <w:szCs w:val="24"/>
          <w:highlight w:val="none"/>
        </w:rPr>
        <w:t>：学校支付的部分服务费按学期支付，每学期末根据考核结果支付本学期费用</w:t>
      </w:r>
      <w:r>
        <w:rPr>
          <w:rFonts w:hint="eastAsia" w:ascii="仿宋" w:hAnsi="仿宋" w:eastAsia="仿宋" w:cs="仿宋"/>
          <w:color w:val="auto"/>
          <w:sz w:val="24"/>
          <w:szCs w:val="24"/>
          <w:highlight w:val="none"/>
          <w:lang w:eastAsia="zh-CN"/>
        </w:rPr>
        <w:t>。</w:t>
      </w:r>
    </w:p>
    <w:p w14:paraId="498B414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2" w:firstLineChars="200"/>
        <w:rPr>
          <w:rFonts w:hint="eastAsia" w:ascii="仿宋" w:hAnsi="仿宋" w:eastAsia="仿宋" w:cs="仿宋"/>
          <w:color w:val="auto"/>
          <w:sz w:val="24"/>
          <w:szCs w:val="24"/>
          <w:highlight w:val="none"/>
          <w:lang w:eastAsia="zh-CN"/>
        </w:rPr>
      </w:pPr>
      <w:r>
        <w:rPr>
          <w:rStyle w:val="7"/>
          <w:rFonts w:hint="eastAsia" w:ascii="仿宋" w:hAnsi="仿宋" w:eastAsia="仿宋" w:cs="仿宋"/>
          <w:b/>
          <w:bCs/>
          <w:color w:val="auto"/>
          <w:sz w:val="24"/>
          <w:szCs w:val="24"/>
          <w:highlight w:val="none"/>
          <w:lang w:val="en-US" w:eastAsia="zh-CN"/>
        </w:rPr>
        <w:t>2.</w:t>
      </w:r>
      <w:r>
        <w:rPr>
          <w:rStyle w:val="7"/>
          <w:rFonts w:hint="eastAsia" w:ascii="仿宋" w:hAnsi="仿宋" w:eastAsia="仿宋" w:cs="仿宋"/>
          <w:b/>
          <w:bCs/>
          <w:color w:val="auto"/>
          <w:sz w:val="24"/>
          <w:szCs w:val="24"/>
          <w:highlight w:val="none"/>
        </w:rPr>
        <w:t>考核机制</w:t>
      </w:r>
      <w:r>
        <w:rPr>
          <w:rFonts w:hint="eastAsia" w:ascii="仿宋" w:hAnsi="仿宋" w:eastAsia="仿宋" w:cs="仿宋"/>
          <w:color w:val="auto"/>
          <w:sz w:val="24"/>
          <w:szCs w:val="24"/>
          <w:highlight w:val="none"/>
        </w:rPr>
        <w:t>：校方每学期组织一次服务质量考核，年度进行综合考核；考核内容包括医疗质量、服务态度、传染病防控、应急保障、师生满意度等</w:t>
      </w:r>
      <w:r>
        <w:rPr>
          <w:rFonts w:hint="eastAsia" w:ascii="仿宋" w:hAnsi="仿宋" w:eastAsia="仿宋" w:cs="仿宋"/>
          <w:color w:val="auto"/>
          <w:sz w:val="24"/>
          <w:szCs w:val="24"/>
          <w:highlight w:val="none"/>
          <w:lang w:eastAsia="zh-CN"/>
        </w:rPr>
        <w:t>。</w:t>
      </w:r>
    </w:p>
    <w:p w14:paraId="2F0DA40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2" w:firstLineChars="200"/>
        <w:rPr>
          <w:rFonts w:hint="eastAsia" w:ascii="仿宋" w:hAnsi="仿宋" w:eastAsia="仿宋" w:cs="仿宋"/>
          <w:color w:val="auto"/>
          <w:sz w:val="24"/>
          <w:szCs w:val="24"/>
          <w:highlight w:val="none"/>
        </w:rPr>
      </w:pPr>
      <w:r>
        <w:rPr>
          <w:rStyle w:val="7"/>
          <w:rFonts w:hint="eastAsia" w:ascii="仿宋" w:hAnsi="仿宋" w:eastAsia="仿宋" w:cs="仿宋"/>
          <w:b/>
          <w:bCs/>
          <w:color w:val="auto"/>
          <w:sz w:val="24"/>
          <w:szCs w:val="24"/>
          <w:highlight w:val="none"/>
          <w:lang w:val="en-US" w:eastAsia="zh-CN"/>
        </w:rPr>
        <w:t>3.</w:t>
      </w:r>
      <w:r>
        <w:rPr>
          <w:rStyle w:val="7"/>
          <w:rFonts w:hint="eastAsia" w:ascii="仿宋" w:hAnsi="仿宋" w:eastAsia="仿宋" w:cs="仿宋"/>
          <w:b/>
          <w:bCs/>
          <w:color w:val="auto"/>
          <w:sz w:val="24"/>
          <w:szCs w:val="24"/>
          <w:highlight w:val="none"/>
        </w:rPr>
        <w:t>考核结果应用</w:t>
      </w:r>
      <w:r>
        <w:rPr>
          <w:rFonts w:hint="eastAsia" w:ascii="仿宋" w:hAnsi="仿宋" w:eastAsia="仿宋" w:cs="仿宋"/>
          <w:color w:val="auto"/>
          <w:sz w:val="24"/>
          <w:szCs w:val="24"/>
          <w:highlight w:val="none"/>
        </w:rPr>
        <w:t>：</w:t>
      </w:r>
    </w:p>
    <w:p w14:paraId="56F4258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学期考核得分≥90分：全额支付当学期服务费</w:t>
      </w:r>
      <w:r>
        <w:rPr>
          <w:rFonts w:hint="eastAsia" w:ascii="仿宋" w:hAnsi="仿宋" w:eastAsia="仿宋" w:cs="仿宋"/>
          <w:color w:val="auto"/>
          <w:sz w:val="24"/>
          <w:szCs w:val="24"/>
          <w:highlight w:val="none"/>
          <w:lang w:eastAsia="zh-CN"/>
        </w:rPr>
        <w:t>。</w:t>
      </w:r>
    </w:p>
    <w:p w14:paraId="052F2FF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学期考核得分80</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89分：扣除当学期服务费的5%</w:t>
      </w:r>
    </w:p>
    <w:p w14:paraId="6D6AFFE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学期考核得分70</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79分：扣除当学期服务费的10%，限期15日内整改</w:t>
      </w:r>
      <w:r>
        <w:rPr>
          <w:rFonts w:hint="eastAsia" w:ascii="仿宋" w:hAnsi="仿宋" w:eastAsia="仿宋" w:cs="仿宋"/>
          <w:color w:val="auto"/>
          <w:sz w:val="24"/>
          <w:szCs w:val="24"/>
          <w:highlight w:val="none"/>
          <w:lang w:eastAsia="zh-CN"/>
        </w:rPr>
        <w:t>。</w:t>
      </w:r>
    </w:p>
    <w:p w14:paraId="65F7BF4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学期考核得分&lt;70分：扣除当学期服务费的20%，限期整改；连续两个学期不合格，立即终止合同</w:t>
      </w:r>
      <w:r>
        <w:rPr>
          <w:rFonts w:hint="eastAsia" w:ascii="仿宋" w:hAnsi="仿宋" w:eastAsia="仿宋" w:cs="仿宋"/>
          <w:color w:val="auto"/>
          <w:sz w:val="24"/>
          <w:szCs w:val="24"/>
          <w:highlight w:val="none"/>
          <w:lang w:eastAsia="zh-CN"/>
        </w:rPr>
        <w:t>。</w:t>
      </w:r>
    </w:p>
    <w:p w14:paraId="50CA07B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2" w:firstLineChars="200"/>
        <w:rPr>
          <w:rFonts w:hint="eastAsia" w:ascii="仿宋" w:hAnsi="仿宋" w:eastAsia="仿宋" w:cs="仿宋"/>
          <w:color w:val="auto"/>
          <w:sz w:val="24"/>
          <w:szCs w:val="24"/>
          <w:highlight w:val="none"/>
          <w:lang w:eastAsia="zh-CN"/>
        </w:rPr>
      </w:pPr>
      <w:r>
        <w:rPr>
          <w:rStyle w:val="7"/>
          <w:rFonts w:hint="eastAsia" w:ascii="仿宋" w:hAnsi="仿宋" w:eastAsia="仿宋" w:cs="仿宋"/>
          <w:b/>
          <w:bCs/>
          <w:color w:val="auto"/>
          <w:sz w:val="24"/>
          <w:szCs w:val="24"/>
          <w:highlight w:val="none"/>
          <w:lang w:val="en-US" w:eastAsia="zh-CN"/>
        </w:rPr>
        <w:t>1.</w:t>
      </w:r>
      <w:r>
        <w:rPr>
          <w:rStyle w:val="7"/>
          <w:rFonts w:hint="eastAsia" w:ascii="仿宋" w:hAnsi="仿宋" w:eastAsia="仿宋" w:cs="仿宋"/>
          <w:b/>
          <w:bCs/>
          <w:color w:val="auto"/>
          <w:sz w:val="24"/>
          <w:szCs w:val="24"/>
          <w:highlight w:val="none"/>
        </w:rPr>
        <w:t>违约责</w:t>
      </w:r>
      <w:r>
        <w:rPr>
          <w:rStyle w:val="7"/>
          <w:rFonts w:hint="eastAsia" w:ascii="仿宋" w:hAnsi="仿宋" w:eastAsia="仿宋" w:cs="仿宋"/>
          <w:b/>
          <w:bCs/>
          <w:color w:val="auto"/>
          <w:sz w:val="24"/>
          <w:szCs w:val="24"/>
          <w:highlight w:val="none"/>
        </w:rPr>
        <w:t>任</w:t>
      </w:r>
      <w:r>
        <w:rPr>
          <w:rFonts w:hint="eastAsia" w:ascii="仿宋" w:hAnsi="仿宋" w:eastAsia="仿宋" w:cs="仿宋"/>
          <w:color w:val="auto"/>
          <w:sz w:val="24"/>
          <w:szCs w:val="24"/>
          <w:highlight w:val="none"/>
        </w:rPr>
        <w:t>：发生负主要责任的医疗事故</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消防安全事故、售卖假药物或过期药物等问题，</w:t>
      </w:r>
      <w:r>
        <w:rPr>
          <w:rFonts w:hint="eastAsia" w:ascii="仿宋" w:hAnsi="仿宋" w:eastAsia="仿宋" w:cs="仿宋"/>
          <w:color w:val="auto"/>
          <w:sz w:val="24"/>
          <w:szCs w:val="24"/>
          <w:highlight w:val="none"/>
        </w:rPr>
        <w:t>由中标人自行承担全部责任，校方</w:t>
      </w:r>
      <w:r>
        <w:rPr>
          <w:rFonts w:hint="eastAsia" w:ascii="仿宋" w:hAnsi="仿宋" w:eastAsia="仿宋" w:cs="仿宋"/>
          <w:color w:val="auto"/>
          <w:sz w:val="24"/>
          <w:szCs w:val="24"/>
          <w:highlight w:val="none"/>
          <w:lang w:val="en-US" w:eastAsia="zh-CN"/>
        </w:rPr>
        <w:t>有权</w:t>
      </w:r>
      <w:r>
        <w:rPr>
          <w:rFonts w:hint="eastAsia" w:ascii="仿宋" w:hAnsi="仿宋" w:eastAsia="仿宋" w:cs="仿宋"/>
          <w:color w:val="auto"/>
          <w:sz w:val="24"/>
          <w:szCs w:val="24"/>
          <w:highlight w:val="none"/>
        </w:rPr>
        <w:t>立即终止合同</w:t>
      </w:r>
      <w:r>
        <w:rPr>
          <w:rFonts w:hint="eastAsia" w:ascii="仿宋" w:hAnsi="仿宋" w:eastAsia="仿宋" w:cs="仿宋"/>
          <w:color w:val="auto"/>
          <w:sz w:val="24"/>
          <w:szCs w:val="24"/>
          <w:highlight w:val="none"/>
          <w:lang w:eastAsia="zh-CN"/>
        </w:rPr>
        <w:t>。</w:t>
      </w:r>
    </w:p>
    <w:p w14:paraId="3ACBDB4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2" w:firstLineChars="200"/>
        <w:rPr>
          <w:rFonts w:hint="eastAsia" w:ascii="仿宋" w:hAnsi="仿宋" w:eastAsia="仿宋" w:cs="仿宋"/>
          <w:color w:val="auto"/>
          <w:sz w:val="24"/>
          <w:szCs w:val="24"/>
          <w:highlight w:val="none"/>
          <w:lang w:eastAsia="zh-CN"/>
        </w:rPr>
      </w:pPr>
      <w:r>
        <w:rPr>
          <w:rStyle w:val="7"/>
          <w:rFonts w:hint="eastAsia" w:ascii="仿宋" w:hAnsi="仿宋" w:eastAsia="仿宋" w:cs="仿宋"/>
          <w:b/>
          <w:bCs/>
          <w:color w:val="auto"/>
          <w:sz w:val="24"/>
          <w:szCs w:val="24"/>
          <w:highlight w:val="none"/>
          <w:lang w:val="en-US" w:eastAsia="zh-CN"/>
        </w:rPr>
        <w:t>2.</w:t>
      </w:r>
      <w:r>
        <w:rPr>
          <w:rStyle w:val="7"/>
          <w:rFonts w:hint="eastAsia" w:ascii="仿宋" w:hAnsi="仿宋" w:eastAsia="仿宋" w:cs="仿宋"/>
          <w:b/>
          <w:bCs/>
          <w:color w:val="auto"/>
          <w:sz w:val="24"/>
          <w:szCs w:val="24"/>
          <w:highlight w:val="none"/>
        </w:rPr>
        <w:t>申诉机制</w:t>
      </w:r>
      <w:r>
        <w:rPr>
          <w:rFonts w:hint="eastAsia" w:ascii="仿宋" w:hAnsi="仿宋" w:eastAsia="仿宋" w:cs="仿宋"/>
          <w:color w:val="auto"/>
          <w:sz w:val="24"/>
          <w:szCs w:val="24"/>
          <w:highlight w:val="none"/>
        </w:rPr>
        <w:t>：被考核单位对考核</w:t>
      </w:r>
      <w:r>
        <w:rPr>
          <w:rFonts w:hint="eastAsia" w:ascii="仿宋" w:hAnsi="仿宋" w:eastAsia="仿宋" w:cs="仿宋"/>
          <w:color w:val="auto"/>
          <w:sz w:val="24"/>
          <w:szCs w:val="24"/>
          <w:highlight w:val="none"/>
        </w:rPr>
        <w:t>结果有异议的，可在收到考核结果3个工作日内向后勤管理处提出书面申诉，后勤管理处在5个工作日内作出复核答复</w:t>
      </w:r>
      <w:r>
        <w:rPr>
          <w:rFonts w:hint="eastAsia" w:ascii="仿宋" w:hAnsi="仿宋" w:eastAsia="仿宋" w:cs="仿宋"/>
          <w:color w:val="auto"/>
          <w:sz w:val="24"/>
          <w:szCs w:val="24"/>
          <w:highlight w:val="none"/>
          <w:lang w:eastAsia="zh-CN"/>
        </w:rPr>
        <w:t>。</w:t>
      </w:r>
    </w:p>
    <w:p w14:paraId="6EC860C5">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br w:type="page"/>
      </w:r>
    </w:p>
    <w:p w14:paraId="05FEFB1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eastAsia"/>
          <w:color w:val="auto"/>
          <w:sz w:val="28"/>
          <w:szCs w:val="28"/>
          <w:highlight w:val="none"/>
        </w:rPr>
      </w:pPr>
      <w:r>
        <w:rPr>
          <w:rFonts w:hint="eastAsia" w:ascii="仿宋" w:hAnsi="仿宋" w:eastAsia="仿宋" w:cs="仿宋"/>
          <w:color w:val="auto"/>
          <w:sz w:val="24"/>
          <w:szCs w:val="24"/>
          <w:highlight w:val="none"/>
        </w:rPr>
        <w:t>十、评标评分标准</w:t>
      </w:r>
    </w:p>
    <w:tbl>
      <w:tblPr>
        <w:tblStyle w:val="5"/>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824"/>
        <w:gridCol w:w="734"/>
        <w:gridCol w:w="734"/>
        <w:gridCol w:w="1141"/>
        <w:gridCol w:w="4700"/>
      </w:tblGrid>
      <w:tr w14:paraId="164A7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Header/>
          <w:tblCellSpacing w:w="15" w:type="dxa"/>
        </w:trPr>
        <w:tc>
          <w:tcPr>
            <w:tcW w:w="779" w:type="dxa"/>
            <w:shd w:val="clear" w:color="auto" w:fill="auto"/>
            <w:vAlign w:val="center"/>
          </w:tcPr>
          <w:p w14:paraId="02E0902C">
            <w:pPr>
              <w:keepNext w:val="0"/>
              <w:keepLines w:val="0"/>
              <w:widowControl/>
              <w:suppressLineNumbers w:val="0"/>
              <w:jc w:val="center"/>
              <w:rPr>
                <w:rFonts w:hint="eastAsia" w:ascii="仿宋" w:hAnsi="仿宋" w:eastAsia="仿宋" w:cs="仿宋"/>
                <w:b/>
                <w:bCs/>
                <w:color w:val="auto"/>
                <w:sz w:val="22"/>
                <w:szCs w:val="22"/>
                <w:highlight w:val="none"/>
              </w:rPr>
            </w:pPr>
            <w:r>
              <w:rPr>
                <w:rFonts w:hint="eastAsia" w:ascii="仿宋" w:hAnsi="仿宋" w:eastAsia="仿宋" w:cs="仿宋"/>
                <w:b/>
                <w:bCs/>
                <w:color w:val="auto"/>
                <w:kern w:val="0"/>
                <w:sz w:val="22"/>
                <w:szCs w:val="22"/>
                <w:highlight w:val="none"/>
                <w:lang w:val="en-US" w:eastAsia="zh-CN" w:bidi="ar"/>
              </w:rPr>
              <w:t>一级指标</w:t>
            </w:r>
          </w:p>
        </w:tc>
        <w:tc>
          <w:tcPr>
            <w:tcW w:w="704" w:type="dxa"/>
            <w:shd w:val="clear" w:color="auto" w:fill="auto"/>
            <w:vAlign w:val="center"/>
          </w:tcPr>
          <w:p w14:paraId="6334BA5E">
            <w:pPr>
              <w:keepNext w:val="0"/>
              <w:keepLines w:val="0"/>
              <w:widowControl/>
              <w:suppressLineNumbers w:val="0"/>
              <w:jc w:val="center"/>
              <w:rPr>
                <w:rFonts w:hint="eastAsia" w:ascii="仿宋" w:hAnsi="仿宋" w:eastAsia="仿宋" w:cs="仿宋"/>
                <w:b/>
                <w:bCs/>
                <w:color w:val="auto"/>
                <w:sz w:val="22"/>
                <w:szCs w:val="22"/>
                <w:highlight w:val="none"/>
              </w:rPr>
            </w:pPr>
            <w:r>
              <w:rPr>
                <w:rFonts w:hint="eastAsia" w:ascii="仿宋" w:hAnsi="仿宋" w:eastAsia="仿宋" w:cs="仿宋"/>
                <w:b/>
                <w:bCs/>
                <w:color w:val="auto"/>
                <w:kern w:val="0"/>
                <w:sz w:val="22"/>
                <w:szCs w:val="22"/>
                <w:highlight w:val="none"/>
                <w:lang w:val="en-US" w:eastAsia="zh-CN" w:bidi="ar"/>
              </w:rPr>
              <w:t>分值</w:t>
            </w:r>
          </w:p>
        </w:tc>
        <w:tc>
          <w:tcPr>
            <w:tcW w:w="704" w:type="dxa"/>
            <w:shd w:val="clear" w:color="auto" w:fill="auto"/>
            <w:vAlign w:val="center"/>
          </w:tcPr>
          <w:p w14:paraId="66DA977B">
            <w:pPr>
              <w:keepNext w:val="0"/>
              <w:keepLines w:val="0"/>
              <w:widowControl/>
              <w:suppressLineNumbers w:val="0"/>
              <w:jc w:val="center"/>
              <w:rPr>
                <w:rFonts w:hint="eastAsia" w:ascii="仿宋" w:hAnsi="仿宋" w:eastAsia="仿宋" w:cs="仿宋"/>
                <w:b/>
                <w:bCs/>
                <w:color w:val="auto"/>
                <w:sz w:val="22"/>
                <w:szCs w:val="22"/>
                <w:highlight w:val="none"/>
              </w:rPr>
            </w:pPr>
            <w:r>
              <w:rPr>
                <w:rFonts w:hint="eastAsia" w:ascii="仿宋" w:hAnsi="仿宋" w:eastAsia="仿宋" w:cs="仿宋"/>
                <w:b/>
                <w:bCs/>
                <w:color w:val="auto"/>
                <w:kern w:val="0"/>
                <w:sz w:val="22"/>
                <w:szCs w:val="22"/>
                <w:highlight w:val="none"/>
                <w:lang w:val="en-US" w:eastAsia="zh-CN" w:bidi="ar"/>
              </w:rPr>
              <w:t>二级指标</w:t>
            </w:r>
          </w:p>
        </w:tc>
        <w:tc>
          <w:tcPr>
            <w:tcW w:w="1111" w:type="dxa"/>
            <w:shd w:val="clear" w:color="auto" w:fill="auto"/>
            <w:vAlign w:val="center"/>
          </w:tcPr>
          <w:p w14:paraId="5775F82A">
            <w:pPr>
              <w:keepNext w:val="0"/>
              <w:keepLines w:val="0"/>
              <w:widowControl/>
              <w:suppressLineNumbers w:val="0"/>
              <w:jc w:val="center"/>
              <w:rPr>
                <w:rFonts w:hint="eastAsia" w:ascii="仿宋" w:hAnsi="仿宋" w:eastAsia="仿宋" w:cs="仿宋"/>
                <w:b/>
                <w:bCs/>
                <w:color w:val="auto"/>
                <w:sz w:val="22"/>
                <w:szCs w:val="22"/>
                <w:highlight w:val="none"/>
              </w:rPr>
            </w:pPr>
            <w:r>
              <w:rPr>
                <w:rFonts w:hint="eastAsia" w:ascii="仿宋" w:hAnsi="仿宋" w:eastAsia="仿宋" w:cs="仿宋"/>
                <w:b/>
                <w:bCs/>
                <w:color w:val="auto"/>
                <w:kern w:val="0"/>
                <w:sz w:val="22"/>
                <w:szCs w:val="22"/>
                <w:highlight w:val="none"/>
                <w:lang w:val="en-US" w:eastAsia="zh-CN" w:bidi="ar"/>
              </w:rPr>
              <w:t>分值</w:t>
            </w:r>
          </w:p>
        </w:tc>
        <w:tc>
          <w:tcPr>
            <w:tcW w:w="4655" w:type="dxa"/>
            <w:shd w:val="clear" w:color="auto" w:fill="auto"/>
            <w:vAlign w:val="center"/>
          </w:tcPr>
          <w:p w14:paraId="088E0EDD">
            <w:pPr>
              <w:keepNext w:val="0"/>
              <w:keepLines w:val="0"/>
              <w:widowControl/>
              <w:suppressLineNumbers w:val="0"/>
              <w:jc w:val="left"/>
              <w:rPr>
                <w:rFonts w:hint="eastAsia" w:ascii="仿宋" w:hAnsi="仿宋" w:eastAsia="仿宋" w:cs="仿宋"/>
                <w:b/>
                <w:bCs/>
                <w:color w:val="auto"/>
                <w:sz w:val="22"/>
                <w:szCs w:val="22"/>
                <w:highlight w:val="none"/>
              </w:rPr>
            </w:pPr>
            <w:r>
              <w:rPr>
                <w:rFonts w:hint="eastAsia" w:ascii="仿宋" w:hAnsi="仿宋" w:eastAsia="仿宋" w:cs="仿宋"/>
                <w:b/>
                <w:bCs/>
                <w:color w:val="auto"/>
                <w:kern w:val="0"/>
                <w:sz w:val="22"/>
                <w:szCs w:val="22"/>
                <w:highlight w:val="none"/>
                <w:lang w:val="en-US" w:eastAsia="zh-CN" w:bidi="ar"/>
              </w:rPr>
              <w:t>详细评分标准</w:t>
            </w:r>
          </w:p>
        </w:tc>
      </w:tr>
      <w:tr w14:paraId="36580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15" w:type="dxa"/>
        </w:trPr>
        <w:tc>
          <w:tcPr>
            <w:tcW w:w="779" w:type="dxa"/>
            <w:vMerge w:val="restart"/>
            <w:shd w:val="clear" w:color="auto" w:fill="auto"/>
            <w:vAlign w:val="center"/>
          </w:tcPr>
          <w:p w14:paraId="2F1AF71F">
            <w:pPr>
              <w:keepNext w:val="0"/>
              <w:keepLines w:val="0"/>
              <w:widowControl/>
              <w:suppressLineNumbers w:val="0"/>
              <w:jc w:val="center"/>
              <w:rPr>
                <w:rFonts w:hint="eastAsia" w:ascii="仿宋" w:hAnsi="仿宋" w:eastAsia="仿宋" w:cs="仿宋"/>
                <w:color w:val="auto"/>
                <w:sz w:val="22"/>
                <w:szCs w:val="22"/>
                <w:highlight w:val="none"/>
              </w:rPr>
            </w:pPr>
            <w:r>
              <w:rPr>
                <w:rStyle w:val="7"/>
                <w:rFonts w:hint="eastAsia" w:ascii="仿宋" w:hAnsi="仿宋" w:eastAsia="仿宋" w:cs="仿宋"/>
                <w:color w:val="auto"/>
                <w:kern w:val="0"/>
                <w:sz w:val="22"/>
                <w:szCs w:val="22"/>
                <w:highlight w:val="none"/>
                <w:lang w:val="en-US" w:eastAsia="zh-CN" w:bidi="ar"/>
              </w:rPr>
              <w:t>商务部分</w:t>
            </w:r>
          </w:p>
        </w:tc>
        <w:tc>
          <w:tcPr>
            <w:tcW w:w="704" w:type="dxa"/>
            <w:vMerge w:val="restart"/>
            <w:shd w:val="clear" w:color="auto" w:fill="auto"/>
            <w:vAlign w:val="center"/>
          </w:tcPr>
          <w:p w14:paraId="232919A0">
            <w:pPr>
              <w:keepNext w:val="0"/>
              <w:keepLines w:val="0"/>
              <w:widowControl/>
              <w:suppressLineNumbers w:val="0"/>
              <w:jc w:val="center"/>
              <w:rPr>
                <w:rFonts w:hint="eastAsia" w:ascii="仿宋" w:hAnsi="仿宋" w:eastAsia="仿宋" w:cs="仿宋"/>
                <w:color w:val="auto"/>
                <w:sz w:val="22"/>
                <w:szCs w:val="22"/>
                <w:highlight w:val="none"/>
              </w:rPr>
            </w:pPr>
            <w:r>
              <w:rPr>
                <w:rStyle w:val="7"/>
                <w:rFonts w:hint="eastAsia" w:ascii="仿宋" w:hAnsi="仿宋" w:eastAsia="仿宋" w:cs="仿宋"/>
                <w:color w:val="auto"/>
                <w:kern w:val="0"/>
                <w:sz w:val="22"/>
                <w:szCs w:val="22"/>
                <w:highlight w:val="none"/>
                <w:lang w:val="en-US" w:eastAsia="zh-CN" w:bidi="ar"/>
              </w:rPr>
              <w:t>48分</w:t>
            </w:r>
          </w:p>
        </w:tc>
        <w:tc>
          <w:tcPr>
            <w:tcW w:w="704" w:type="dxa"/>
            <w:shd w:val="clear" w:color="auto" w:fill="auto"/>
            <w:vAlign w:val="center"/>
          </w:tcPr>
          <w:p w14:paraId="7F869E9B">
            <w:pPr>
              <w:keepNext w:val="0"/>
              <w:keepLines w:val="0"/>
              <w:widowControl/>
              <w:suppressLineNumbers w:val="0"/>
              <w:jc w:val="center"/>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val="en-US" w:eastAsia="zh-CN" w:bidi="ar"/>
              </w:rPr>
              <w:t>投标人资质</w:t>
            </w:r>
          </w:p>
        </w:tc>
        <w:tc>
          <w:tcPr>
            <w:tcW w:w="1111" w:type="dxa"/>
            <w:shd w:val="clear" w:color="auto" w:fill="auto"/>
            <w:vAlign w:val="center"/>
          </w:tcPr>
          <w:p w14:paraId="6EEE6C0B">
            <w:pPr>
              <w:keepNext w:val="0"/>
              <w:keepLines w:val="0"/>
              <w:widowControl/>
              <w:suppressLineNumbers w:val="0"/>
              <w:jc w:val="center"/>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val="en-US" w:eastAsia="zh-CN" w:bidi="ar"/>
              </w:rPr>
              <w:t>4分</w:t>
            </w:r>
          </w:p>
        </w:tc>
        <w:tc>
          <w:tcPr>
            <w:tcW w:w="4655" w:type="dxa"/>
            <w:shd w:val="clear" w:color="auto" w:fill="auto"/>
            <w:vAlign w:val="center"/>
          </w:tcPr>
          <w:p w14:paraId="59B952B1">
            <w:pPr>
              <w:keepNext w:val="0"/>
              <w:keepLines w:val="0"/>
              <w:widowControl/>
              <w:suppressLineNumbers w:val="0"/>
              <w:jc w:val="left"/>
              <w:rPr>
                <w:rFonts w:hint="default" w:ascii="仿宋" w:hAnsi="仿宋" w:eastAsia="仿宋" w:cs="仿宋"/>
                <w:color w:val="auto"/>
                <w:sz w:val="22"/>
                <w:szCs w:val="22"/>
                <w:highlight w:val="none"/>
                <w:lang w:val="en-US"/>
              </w:rPr>
            </w:pPr>
            <w:r>
              <w:rPr>
                <w:rFonts w:hint="eastAsia" w:ascii="仿宋" w:hAnsi="仿宋" w:eastAsia="仿宋" w:cs="仿宋"/>
                <w:color w:val="auto"/>
                <w:kern w:val="0"/>
                <w:sz w:val="22"/>
                <w:szCs w:val="22"/>
                <w:highlight w:val="none"/>
                <w:lang w:val="en-US" w:eastAsia="zh-CN" w:bidi="ar"/>
              </w:rPr>
              <w:t>持有有效期内《医疗机构执业许可证》及相关健康体检许可资质证明，提供扫描件得2分；在中华人民共和国境内注册的法人或其他组织或自然人，投标（响应）时提交有效的营业执照（或事业法人登记证或社会团体登记证或民办非企业单位登记证或身份证等相关证明）副本扫描件得2分。如缺其中一项均作无效投标处理。</w:t>
            </w:r>
          </w:p>
        </w:tc>
      </w:tr>
      <w:tr w14:paraId="36EF7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15" w:type="dxa"/>
        </w:trPr>
        <w:tc>
          <w:tcPr>
            <w:tcW w:w="779" w:type="dxa"/>
            <w:vMerge w:val="continue"/>
            <w:shd w:val="clear" w:color="auto" w:fill="auto"/>
            <w:vAlign w:val="center"/>
          </w:tcPr>
          <w:p w14:paraId="1BD651EA">
            <w:pPr>
              <w:jc w:val="center"/>
              <w:rPr>
                <w:rFonts w:hint="eastAsia" w:ascii="仿宋" w:hAnsi="仿宋" w:eastAsia="仿宋" w:cs="仿宋"/>
                <w:color w:val="auto"/>
                <w:sz w:val="22"/>
                <w:szCs w:val="22"/>
                <w:highlight w:val="none"/>
              </w:rPr>
            </w:pPr>
          </w:p>
        </w:tc>
        <w:tc>
          <w:tcPr>
            <w:tcW w:w="704" w:type="dxa"/>
            <w:vMerge w:val="continue"/>
            <w:shd w:val="clear" w:color="auto" w:fill="auto"/>
            <w:vAlign w:val="center"/>
          </w:tcPr>
          <w:p w14:paraId="0F3C673D">
            <w:pPr>
              <w:jc w:val="center"/>
              <w:rPr>
                <w:rFonts w:hint="eastAsia" w:ascii="仿宋" w:hAnsi="仿宋" w:eastAsia="仿宋" w:cs="仿宋"/>
                <w:color w:val="auto"/>
                <w:sz w:val="22"/>
                <w:szCs w:val="22"/>
                <w:highlight w:val="none"/>
              </w:rPr>
            </w:pPr>
          </w:p>
        </w:tc>
        <w:tc>
          <w:tcPr>
            <w:tcW w:w="704" w:type="dxa"/>
            <w:shd w:val="clear" w:color="auto" w:fill="auto"/>
            <w:vAlign w:val="center"/>
          </w:tcPr>
          <w:p w14:paraId="3A3E090A">
            <w:pPr>
              <w:keepNext w:val="0"/>
              <w:keepLines w:val="0"/>
              <w:widowControl/>
              <w:suppressLineNumbers w:val="0"/>
              <w:jc w:val="center"/>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val="en-US" w:eastAsia="zh-CN" w:bidi="ar"/>
              </w:rPr>
              <w:t>同类项目业绩</w:t>
            </w:r>
          </w:p>
        </w:tc>
        <w:tc>
          <w:tcPr>
            <w:tcW w:w="1111" w:type="dxa"/>
            <w:shd w:val="clear" w:color="auto" w:fill="auto"/>
            <w:vAlign w:val="center"/>
          </w:tcPr>
          <w:p w14:paraId="497A735C">
            <w:pPr>
              <w:keepNext w:val="0"/>
              <w:keepLines w:val="0"/>
              <w:widowControl/>
              <w:suppressLineNumbers w:val="0"/>
              <w:jc w:val="center"/>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val="en-US" w:eastAsia="zh-CN" w:bidi="ar"/>
              </w:rPr>
              <w:t>5分</w:t>
            </w:r>
          </w:p>
        </w:tc>
        <w:tc>
          <w:tcPr>
            <w:tcW w:w="4655" w:type="dxa"/>
            <w:shd w:val="clear" w:color="auto" w:fill="auto"/>
            <w:vAlign w:val="center"/>
          </w:tcPr>
          <w:p w14:paraId="7D06676E">
            <w:pPr>
              <w:keepNext w:val="0"/>
              <w:keepLines w:val="0"/>
              <w:widowControl/>
              <w:suppressLineNumbers w:val="0"/>
              <w:jc w:val="left"/>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val="en-US" w:eastAsia="zh-CN" w:bidi="ar"/>
              </w:rPr>
              <w:t>具有同类服务项目业绩，服务满1年得2分；每增加1年加1分，最高得5分（提供合同扫描件，服务年限以合同约定为准）。</w:t>
            </w:r>
          </w:p>
        </w:tc>
      </w:tr>
      <w:tr w14:paraId="73EBA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15" w:type="dxa"/>
        </w:trPr>
        <w:tc>
          <w:tcPr>
            <w:tcW w:w="779" w:type="dxa"/>
            <w:vMerge w:val="continue"/>
            <w:shd w:val="clear" w:color="auto" w:fill="auto"/>
            <w:vAlign w:val="center"/>
          </w:tcPr>
          <w:p w14:paraId="2B08EE4A">
            <w:pPr>
              <w:jc w:val="center"/>
              <w:rPr>
                <w:rFonts w:hint="eastAsia" w:ascii="仿宋" w:hAnsi="仿宋" w:eastAsia="仿宋" w:cs="仿宋"/>
                <w:color w:val="auto"/>
                <w:sz w:val="22"/>
                <w:szCs w:val="22"/>
                <w:highlight w:val="none"/>
              </w:rPr>
            </w:pPr>
          </w:p>
        </w:tc>
        <w:tc>
          <w:tcPr>
            <w:tcW w:w="704" w:type="dxa"/>
            <w:vMerge w:val="continue"/>
            <w:shd w:val="clear" w:color="auto" w:fill="auto"/>
            <w:vAlign w:val="center"/>
          </w:tcPr>
          <w:p w14:paraId="31272D9C">
            <w:pPr>
              <w:jc w:val="center"/>
              <w:rPr>
                <w:rFonts w:hint="eastAsia" w:ascii="仿宋" w:hAnsi="仿宋" w:eastAsia="仿宋" w:cs="仿宋"/>
                <w:color w:val="auto"/>
                <w:sz w:val="22"/>
                <w:szCs w:val="22"/>
                <w:highlight w:val="none"/>
              </w:rPr>
            </w:pPr>
          </w:p>
        </w:tc>
        <w:tc>
          <w:tcPr>
            <w:tcW w:w="704" w:type="dxa"/>
            <w:shd w:val="clear" w:color="auto" w:fill="auto"/>
            <w:vAlign w:val="center"/>
          </w:tcPr>
          <w:p w14:paraId="0A19EA52">
            <w:pPr>
              <w:keepNext w:val="0"/>
              <w:keepLines w:val="0"/>
              <w:widowControl/>
              <w:suppressLineNumbers w:val="0"/>
              <w:jc w:val="center"/>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val="en-US" w:eastAsia="zh-CN" w:bidi="ar"/>
              </w:rPr>
              <w:t>拟投入团队实力</w:t>
            </w:r>
          </w:p>
        </w:tc>
        <w:tc>
          <w:tcPr>
            <w:tcW w:w="1111" w:type="dxa"/>
            <w:shd w:val="clear" w:color="auto" w:fill="auto"/>
            <w:vAlign w:val="center"/>
          </w:tcPr>
          <w:p w14:paraId="2E4B0C6F">
            <w:pPr>
              <w:keepNext w:val="0"/>
              <w:keepLines w:val="0"/>
              <w:widowControl/>
              <w:suppressLineNumbers w:val="0"/>
              <w:jc w:val="center"/>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val="en-US" w:eastAsia="zh-CN" w:bidi="ar"/>
              </w:rPr>
              <w:t>20分</w:t>
            </w:r>
          </w:p>
        </w:tc>
        <w:tc>
          <w:tcPr>
            <w:tcW w:w="4655" w:type="dxa"/>
            <w:shd w:val="clear" w:color="auto" w:fill="auto"/>
            <w:vAlign w:val="center"/>
          </w:tcPr>
          <w:p w14:paraId="452D464E">
            <w:pPr>
              <w:keepNext w:val="0"/>
              <w:keepLines w:val="0"/>
              <w:widowControl/>
              <w:suppressLineNumbers w:val="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1.医生团队（最高12分）：主任医师（正高级）每人得5分</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副主任医师（副高级）每人得4分</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主治医师（中级）每人得3分</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执业医师（初级）每人得1分</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最多计</w:t>
            </w:r>
            <w:r>
              <w:rPr>
                <w:rFonts w:hint="eastAsia" w:ascii="仿宋" w:hAnsi="仿宋" w:eastAsia="仿宋" w:cs="仿宋"/>
                <w:color w:val="auto"/>
                <w:sz w:val="22"/>
                <w:szCs w:val="22"/>
                <w:highlight w:val="none"/>
                <w:lang w:val="en-US" w:eastAsia="zh-CN"/>
              </w:rPr>
              <w:t>4</w:t>
            </w:r>
            <w:r>
              <w:rPr>
                <w:rFonts w:hint="eastAsia" w:ascii="仿宋" w:hAnsi="仿宋" w:eastAsia="仿宋" w:cs="仿宋"/>
                <w:color w:val="auto"/>
                <w:sz w:val="22"/>
                <w:szCs w:val="22"/>
                <w:highlight w:val="none"/>
              </w:rPr>
              <w:t>人，按最高职称择优计分</w:t>
            </w:r>
            <w:r>
              <w:rPr>
                <w:rFonts w:hint="eastAsia" w:ascii="仿宋" w:hAnsi="仿宋" w:eastAsia="仿宋" w:cs="仿宋"/>
                <w:color w:val="auto"/>
                <w:sz w:val="22"/>
                <w:szCs w:val="22"/>
                <w:highlight w:val="none"/>
                <w:lang w:eastAsia="zh-CN"/>
              </w:rPr>
              <w:t>；</w:t>
            </w:r>
          </w:p>
          <w:p w14:paraId="0746EBF7">
            <w:pPr>
              <w:keepNext w:val="0"/>
              <w:keepLines w:val="0"/>
              <w:widowControl/>
              <w:suppressLineNumbers w:val="0"/>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2.护理团队（最高5分）：主任护师/副主任护师（高级）每人得3分</w:t>
            </w:r>
            <w:r>
              <w:rPr>
                <w:rFonts w:hint="eastAsia" w:ascii="仿宋" w:hAnsi="仿宋" w:eastAsia="仿宋" w:cs="仿宋"/>
                <w:color w:val="auto"/>
                <w:sz w:val="22"/>
                <w:szCs w:val="22"/>
                <w:highlight w:val="none"/>
                <w:lang w:val="en-US" w:eastAsia="zh-CN"/>
              </w:rPr>
              <w:t>,</w:t>
            </w:r>
            <w:r>
              <w:rPr>
                <w:rFonts w:hint="eastAsia" w:ascii="仿宋" w:hAnsi="仿宋" w:eastAsia="仿宋" w:cs="仿宋"/>
                <w:color w:val="auto"/>
                <w:sz w:val="22"/>
                <w:szCs w:val="22"/>
                <w:highlight w:val="none"/>
              </w:rPr>
              <w:t>主管护师（中级）每人得2分</w:t>
            </w:r>
            <w:r>
              <w:rPr>
                <w:rFonts w:hint="eastAsia" w:ascii="仿宋" w:hAnsi="仿宋" w:eastAsia="仿宋" w:cs="仿宋"/>
                <w:color w:val="auto"/>
                <w:sz w:val="22"/>
                <w:szCs w:val="22"/>
                <w:highlight w:val="none"/>
                <w:lang w:val="en-US" w:eastAsia="zh-CN"/>
              </w:rPr>
              <w:t>,</w:t>
            </w:r>
            <w:r>
              <w:rPr>
                <w:rFonts w:hint="eastAsia" w:ascii="仿宋" w:hAnsi="仿宋" w:eastAsia="仿宋" w:cs="仿宋"/>
                <w:color w:val="auto"/>
                <w:sz w:val="22"/>
                <w:szCs w:val="22"/>
                <w:highlight w:val="none"/>
              </w:rPr>
              <w:t>护师/护士（初级）每人得1分</w:t>
            </w:r>
            <w:r>
              <w:rPr>
                <w:rFonts w:hint="eastAsia" w:ascii="仿宋" w:hAnsi="仿宋" w:eastAsia="仿宋" w:cs="仿宋"/>
                <w:color w:val="auto"/>
                <w:sz w:val="22"/>
                <w:szCs w:val="22"/>
                <w:highlight w:val="none"/>
                <w:lang w:val="en-US" w:eastAsia="zh-CN"/>
              </w:rPr>
              <w:t>,</w:t>
            </w:r>
            <w:r>
              <w:rPr>
                <w:rFonts w:hint="eastAsia" w:ascii="仿宋" w:hAnsi="仿宋" w:eastAsia="仿宋" w:cs="仿宋"/>
                <w:color w:val="auto"/>
                <w:sz w:val="22"/>
                <w:szCs w:val="22"/>
                <w:highlight w:val="none"/>
              </w:rPr>
              <w:t>最多计</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rPr>
              <w:t>人，按最高职称择优计分</w:t>
            </w:r>
            <w:r>
              <w:rPr>
                <w:rFonts w:hint="eastAsia" w:ascii="仿宋" w:hAnsi="仿宋" w:eastAsia="仿宋" w:cs="仿宋"/>
                <w:color w:val="auto"/>
                <w:sz w:val="22"/>
                <w:szCs w:val="22"/>
                <w:highlight w:val="none"/>
                <w:lang w:val="en-US" w:eastAsia="zh-CN"/>
              </w:rPr>
              <w:t>;</w:t>
            </w:r>
          </w:p>
          <w:p w14:paraId="2F58B69E">
            <w:pPr>
              <w:keepNext w:val="0"/>
              <w:keepLines w:val="0"/>
              <w:widowControl/>
              <w:suppressLineNumbers w:val="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3.专业人员配置（3分）：配备公共卫生/预防医学/检验专业人员得3分</w:t>
            </w:r>
            <w:r>
              <w:rPr>
                <w:rFonts w:hint="eastAsia" w:ascii="仿宋" w:hAnsi="仿宋" w:eastAsia="仿宋" w:cs="仿宋"/>
                <w:color w:val="auto"/>
                <w:sz w:val="22"/>
                <w:szCs w:val="22"/>
                <w:highlight w:val="none"/>
                <w:lang w:eastAsia="zh-CN"/>
              </w:rPr>
              <w:t>。</w:t>
            </w:r>
          </w:p>
          <w:p w14:paraId="19DB60C4">
            <w:pPr>
              <w:keepNext w:val="0"/>
              <w:keepLines w:val="0"/>
              <w:widowControl/>
              <w:suppressLineNumbers w:val="0"/>
              <w:jc w:val="left"/>
              <w:rPr>
                <w:rFonts w:hint="eastAsia" w:ascii="仿宋" w:hAnsi="仿宋" w:eastAsia="仿宋" w:cs="仿宋"/>
                <w:color w:val="auto"/>
                <w:sz w:val="22"/>
                <w:szCs w:val="22"/>
                <w:highlight w:val="none"/>
                <w:lang w:eastAsia="zh-CN"/>
              </w:rPr>
            </w:pPr>
            <w:r>
              <w:rPr>
                <w:rStyle w:val="7"/>
                <w:rFonts w:hint="eastAsia" w:ascii="仿宋" w:hAnsi="仿宋" w:eastAsia="仿宋" w:cs="仿宋"/>
                <w:b/>
                <w:bCs/>
                <w:color w:val="auto"/>
                <w:sz w:val="22"/>
                <w:szCs w:val="22"/>
                <w:highlight w:val="none"/>
              </w:rPr>
              <w:t>核验要求</w:t>
            </w:r>
            <w:r>
              <w:rPr>
                <w:rFonts w:hint="eastAsia" w:ascii="仿宋" w:hAnsi="仿宋" w:eastAsia="仿宋" w:cs="仿宋"/>
                <w:color w:val="auto"/>
                <w:sz w:val="22"/>
                <w:szCs w:val="22"/>
                <w:highlight w:val="none"/>
              </w:rPr>
              <w:t>：提供职称证书、执业证书</w:t>
            </w:r>
            <w:r>
              <w:rPr>
                <w:rFonts w:hint="eastAsia" w:ascii="仿宋" w:hAnsi="仿宋" w:eastAsia="仿宋" w:cs="仿宋"/>
                <w:color w:val="auto"/>
                <w:sz w:val="22"/>
                <w:szCs w:val="22"/>
                <w:highlight w:val="none"/>
                <w:lang w:val="en-US" w:eastAsia="zh-CN"/>
              </w:rPr>
              <w:t>等</w:t>
            </w:r>
            <w:r>
              <w:rPr>
                <w:rFonts w:hint="eastAsia" w:ascii="仿宋" w:hAnsi="仿宋" w:eastAsia="仿宋" w:cs="仿宋"/>
                <w:color w:val="auto"/>
                <w:sz w:val="22"/>
                <w:szCs w:val="22"/>
                <w:highlight w:val="none"/>
              </w:rPr>
              <w:t>；承诺到岗人员与实际派驻人员不一致的，取消中标资格</w:t>
            </w:r>
            <w:r>
              <w:rPr>
                <w:rFonts w:hint="eastAsia" w:ascii="仿宋" w:hAnsi="仿宋" w:eastAsia="仿宋" w:cs="仿宋"/>
                <w:color w:val="auto"/>
                <w:sz w:val="22"/>
                <w:szCs w:val="22"/>
                <w:highlight w:val="none"/>
                <w:lang w:eastAsia="zh-CN"/>
              </w:rPr>
              <w:t>。</w:t>
            </w:r>
          </w:p>
        </w:tc>
      </w:tr>
      <w:tr w14:paraId="7D83B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15" w:type="dxa"/>
        </w:trPr>
        <w:tc>
          <w:tcPr>
            <w:tcW w:w="779" w:type="dxa"/>
            <w:vMerge w:val="continue"/>
            <w:shd w:val="clear" w:color="auto" w:fill="auto"/>
            <w:vAlign w:val="center"/>
          </w:tcPr>
          <w:p w14:paraId="35B94354">
            <w:pPr>
              <w:jc w:val="center"/>
              <w:rPr>
                <w:rFonts w:hint="eastAsia" w:ascii="仿宋" w:hAnsi="仿宋" w:eastAsia="仿宋" w:cs="仿宋"/>
                <w:color w:val="auto"/>
                <w:sz w:val="22"/>
                <w:szCs w:val="22"/>
                <w:highlight w:val="none"/>
              </w:rPr>
            </w:pPr>
          </w:p>
        </w:tc>
        <w:tc>
          <w:tcPr>
            <w:tcW w:w="704" w:type="dxa"/>
            <w:vMerge w:val="continue"/>
            <w:shd w:val="clear" w:color="auto" w:fill="auto"/>
            <w:vAlign w:val="center"/>
          </w:tcPr>
          <w:p w14:paraId="15461D86">
            <w:pPr>
              <w:jc w:val="center"/>
              <w:rPr>
                <w:rFonts w:hint="eastAsia" w:ascii="仿宋" w:hAnsi="仿宋" w:eastAsia="仿宋" w:cs="仿宋"/>
                <w:color w:val="auto"/>
                <w:sz w:val="22"/>
                <w:szCs w:val="22"/>
                <w:highlight w:val="none"/>
              </w:rPr>
            </w:pPr>
          </w:p>
        </w:tc>
        <w:tc>
          <w:tcPr>
            <w:tcW w:w="704" w:type="dxa"/>
            <w:shd w:val="clear" w:color="auto" w:fill="auto"/>
            <w:vAlign w:val="center"/>
          </w:tcPr>
          <w:p w14:paraId="490B21DA">
            <w:pPr>
              <w:keepNext w:val="0"/>
              <w:keepLines w:val="0"/>
              <w:widowControl/>
              <w:suppressLineNumbers w:val="0"/>
              <w:jc w:val="center"/>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val="en-US" w:eastAsia="zh-CN" w:bidi="ar"/>
              </w:rPr>
              <w:t>拟投入医疗设备</w:t>
            </w:r>
          </w:p>
        </w:tc>
        <w:tc>
          <w:tcPr>
            <w:tcW w:w="1111" w:type="dxa"/>
            <w:shd w:val="clear" w:color="auto" w:fill="auto"/>
            <w:vAlign w:val="center"/>
          </w:tcPr>
          <w:p w14:paraId="20AB7D14">
            <w:pPr>
              <w:keepNext w:val="0"/>
              <w:keepLines w:val="0"/>
              <w:widowControl/>
              <w:suppressLineNumbers w:val="0"/>
              <w:jc w:val="center"/>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val="en-US" w:eastAsia="zh-CN" w:bidi="ar"/>
              </w:rPr>
              <w:t>15分</w:t>
            </w:r>
          </w:p>
        </w:tc>
        <w:tc>
          <w:tcPr>
            <w:tcW w:w="4655" w:type="dxa"/>
            <w:shd w:val="clear" w:color="auto" w:fill="auto"/>
            <w:vAlign w:val="center"/>
          </w:tcPr>
          <w:p w14:paraId="07709715">
            <w:pPr>
              <w:keepNext w:val="0"/>
              <w:keepLines w:val="0"/>
              <w:widowControl/>
              <w:suppressLineNumbers w:val="0"/>
              <w:jc w:val="left"/>
              <w:rPr>
                <w:rFonts w:hint="eastAsia" w:ascii="仿宋" w:hAnsi="仿宋" w:eastAsia="仿宋" w:cs="仿宋"/>
                <w:color w:val="auto"/>
                <w:kern w:val="0"/>
                <w:sz w:val="22"/>
                <w:szCs w:val="22"/>
                <w:highlight w:val="none"/>
                <w:lang w:val="en-US" w:eastAsia="zh-CN" w:bidi="ar"/>
              </w:rPr>
            </w:pPr>
            <w:r>
              <w:rPr>
                <w:rStyle w:val="7"/>
                <w:rFonts w:hint="eastAsia" w:ascii="仿宋" w:hAnsi="仿宋" w:eastAsia="仿宋" w:cs="仿宋"/>
                <w:b/>
                <w:bCs/>
                <w:color w:val="auto"/>
                <w:sz w:val="22"/>
                <w:szCs w:val="22"/>
                <w:highlight w:val="none"/>
              </w:rPr>
              <w:t>基础分（1</w:t>
            </w:r>
            <w:r>
              <w:rPr>
                <w:rStyle w:val="7"/>
                <w:rFonts w:hint="eastAsia" w:ascii="仿宋" w:hAnsi="仿宋" w:eastAsia="仿宋" w:cs="仿宋"/>
                <w:b/>
                <w:bCs/>
                <w:color w:val="auto"/>
                <w:sz w:val="22"/>
                <w:szCs w:val="22"/>
                <w:highlight w:val="none"/>
                <w:lang w:val="en-US" w:eastAsia="zh-CN"/>
              </w:rPr>
              <w:t>5</w:t>
            </w:r>
            <w:r>
              <w:rPr>
                <w:rStyle w:val="7"/>
                <w:rFonts w:hint="eastAsia" w:ascii="仿宋" w:hAnsi="仿宋" w:eastAsia="仿宋" w:cs="仿宋"/>
                <w:b/>
                <w:bCs/>
                <w:color w:val="auto"/>
                <w:sz w:val="22"/>
                <w:szCs w:val="22"/>
                <w:highlight w:val="none"/>
              </w:rPr>
              <w:t>分）</w:t>
            </w:r>
            <w:r>
              <w:rPr>
                <w:rFonts w:hint="eastAsia" w:ascii="仿宋" w:hAnsi="仿宋" w:eastAsia="仿宋" w:cs="仿宋"/>
                <w:color w:val="auto"/>
                <w:sz w:val="22"/>
                <w:szCs w:val="22"/>
                <w:highlight w:val="none"/>
              </w:rPr>
              <w:t>：承诺投入以下全部核心医疗设备得</w:t>
            </w:r>
            <w:r>
              <w:rPr>
                <w:rFonts w:hint="eastAsia" w:ascii="仿宋" w:hAnsi="仿宋" w:eastAsia="仿宋" w:cs="仿宋"/>
                <w:color w:val="auto"/>
                <w:sz w:val="22"/>
                <w:szCs w:val="22"/>
                <w:highlight w:val="none"/>
                <w:lang w:val="en-US" w:eastAsia="zh-CN"/>
              </w:rPr>
              <w:t>15</w:t>
            </w:r>
            <w:r>
              <w:rPr>
                <w:rFonts w:hint="eastAsia" w:ascii="仿宋" w:hAnsi="仿宋" w:eastAsia="仿宋" w:cs="仿宋"/>
                <w:color w:val="auto"/>
                <w:sz w:val="22"/>
                <w:szCs w:val="22"/>
                <w:highlight w:val="none"/>
              </w:rPr>
              <w:t>分：紫外线消毒灯、血压计、听诊器、氧气袋、氧气瓶、急救箱、血球分析仪、除颤仪、心电图机、诊疗床、药柜、诊疗椅、雾化器、担架床、轮椅、自动熬中药机</w:t>
            </w:r>
            <w:r>
              <w:rPr>
                <w:rFonts w:hint="eastAsia" w:ascii="仿宋" w:hAnsi="仿宋" w:eastAsia="仿宋" w:cs="仿宋"/>
                <w:color w:val="auto"/>
                <w:sz w:val="22"/>
                <w:szCs w:val="22"/>
                <w:highlight w:val="none"/>
                <w:lang w:val="en-US" w:eastAsia="zh-CN"/>
              </w:rPr>
              <w:t>等</w:t>
            </w:r>
            <w:r>
              <w:rPr>
                <w:rFonts w:hint="eastAsia" w:ascii="仿宋" w:hAnsi="仿宋" w:eastAsia="仿宋" w:cs="仿宋"/>
                <w:color w:val="auto"/>
                <w:sz w:val="22"/>
                <w:szCs w:val="22"/>
                <w:highlight w:val="none"/>
              </w:rPr>
              <w:t>缺1项核心设备扣</w:t>
            </w:r>
            <w:r>
              <w:rPr>
                <w:rFonts w:hint="eastAsia" w:ascii="仿宋" w:hAnsi="仿宋" w:eastAsia="仿宋" w:cs="仿宋"/>
                <w:color w:val="auto"/>
                <w:sz w:val="22"/>
                <w:szCs w:val="22"/>
                <w:highlight w:val="none"/>
                <w:lang w:val="en-US" w:eastAsia="zh-CN"/>
              </w:rPr>
              <w:t>1</w:t>
            </w:r>
            <w:r>
              <w:rPr>
                <w:rFonts w:hint="eastAsia" w:ascii="仿宋" w:hAnsi="仿宋" w:eastAsia="仿宋" w:cs="仿宋"/>
                <w:color w:val="auto"/>
                <w:sz w:val="22"/>
                <w:szCs w:val="22"/>
                <w:highlight w:val="none"/>
              </w:rPr>
              <w:t>分，扣完为止；仅承诺5项及以下得</w:t>
            </w: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rPr>
              <w:t>分</w:t>
            </w:r>
            <w:r>
              <w:rPr>
                <w:rFonts w:hint="eastAsia" w:ascii="仿宋" w:hAnsi="仿宋" w:eastAsia="仿宋" w:cs="仿宋"/>
                <w:color w:val="auto"/>
                <w:sz w:val="22"/>
                <w:szCs w:val="22"/>
                <w:highlight w:val="none"/>
                <w:lang w:eastAsia="zh-CN"/>
              </w:rPr>
              <w:t>。</w:t>
            </w:r>
          </w:p>
        </w:tc>
      </w:tr>
      <w:tr w14:paraId="55334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15" w:type="dxa"/>
        </w:trPr>
        <w:tc>
          <w:tcPr>
            <w:tcW w:w="779" w:type="dxa"/>
            <w:vMerge w:val="continue"/>
            <w:shd w:val="clear" w:color="auto" w:fill="auto"/>
            <w:vAlign w:val="center"/>
          </w:tcPr>
          <w:p w14:paraId="3B521AF9">
            <w:pPr>
              <w:jc w:val="center"/>
              <w:rPr>
                <w:rFonts w:hint="eastAsia" w:ascii="仿宋" w:hAnsi="仿宋" w:eastAsia="仿宋" w:cs="仿宋"/>
                <w:color w:val="auto"/>
                <w:sz w:val="22"/>
                <w:szCs w:val="22"/>
                <w:highlight w:val="none"/>
              </w:rPr>
            </w:pPr>
          </w:p>
        </w:tc>
        <w:tc>
          <w:tcPr>
            <w:tcW w:w="704" w:type="dxa"/>
            <w:vMerge w:val="continue"/>
            <w:shd w:val="clear" w:color="auto" w:fill="auto"/>
            <w:vAlign w:val="center"/>
          </w:tcPr>
          <w:p w14:paraId="69CF329C">
            <w:pPr>
              <w:jc w:val="center"/>
              <w:rPr>
                <w:rFonts w:hint="eastAsia" w:ascii="仿宋" w:hAnsi="仿宋" w:eastAsia="仿宋" w:cs="仿宋"/>
                <w:color w:val="auto"/>
                <w:sz w:val="22"/>
                <w:szCs w:val="22"/>
                <w:highlight w:val="none"/>
              </w:rPr>
            </w:pPr>
          </w:p>
        </w:tc>
        <w:tc>
          <w:tcPr>
            <w:tcW w:w="704" w:type="dxa"/>
            <w:shd w:val="clear" w:color="auto" w:fill="auto"/>
            <w:vAlign w:val="center"/>
          </w:tcPr>
          <w:p w14:paraId="1C63D037">
            <w:pPr>
              <w:keepNext w:val="0"/>
              <w:keepLines w:val="0"/>
              <w:widowControl/>
              <w:suppressLineNumbers w:val="0"/>
              <w:jc w:val="center"/>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val="en-US" w:eastAsia="zh-CN" w:bidi="ar"/>
              </w:rPr>
              <w:t>诚信记录</w:t>
            </w:r>
          </w:p>
        </w:tc>
        <w:tc>
          <w:tcPr>
            <w:tcW w:w="1111" w:type="dxa"/>
            <w:shd w:val="clear" w:color="auto" w:fill="auto"/>
            <w:vAlign w:val="center"/>
          </w:tcPr>
          <w:p w14:paraId="5DADD0D6">
            <w:pPr>
              <w:keepNext w:val="0"/>
              <w:keepLines w:val="0"/>
              <w:widowControl/>
              <w:suppressLineNumbers w:val="0"/>
              <w:jc w:val="center"/>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val="en-US" w:eastAsia="zh-CN" w:bidi="ar"/>
              </w:rPr>
              <w:t>4分</w:t>
            </w:r>
          </w:p>
        </w:tc>
        <w:tc>
          <w:tcPr>
            <w:tcW w:w="4655" w:type="dxa"/>
            <w:shd w:val="clear" w:color="auto" w:fill="auto"/>
            <w:vAlign w:val="center"/>
          </w:tcPr>
          <w:p w14:paraId="16D6DC9E">
            <w:pPr>
              <w:keepNext w:val="0"/>
              <w:keepLines w:val="0"/>
              <w:widowControl/>
              <w:suppressLineNumbers w:val="0"/>
              <w:jc w:val="left"/>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val="en-US" w:eastAsia="zh-CN" w:bidi="ar"/>
              </w:rPr>
              <w:t>以投标截止前1天信用中国（广东/珠海）查询结果为准：无任何失信记录得4分；有1项一般异常扣2分；2项及以上或严重失信不得分。</w:t>
            </w:r>
          </w:p>
        </w:tc>
      </w:tr>
      <w:tr w14:paraId="3513C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15" w:type="dxa"/>
        </w:trPr>
        <w:tc>
          <w:tcPr>
            <w:tcW w:w="779" w:type="dxa"/>
            <w:vMerge w:val="restart"/>
            <w:shd w:val="clear" w:color="auto" w:fill="auto"/>
            <w:vAlign w:val="center"/>
          </w:tcPr>
          <w:p w14:paraId="34B48666">
            <w:pPr>
              <w:keepNext w:val="0"/>
              <w:keepLines w:val="0"/>
              <w:widowControl/>
              <w:suppressLineNumbers w:val="0"/>
              <w:jc w:val="center"/>
              <w:rPr>
                <w:rFonts w:hint="eastAsia" w:ascii="仿宋" w:hAnsi="仿宋" w:eastAsia="仿宋" w:cs="仿宋"/>
                <w:color w:val="auto"/>
                <w:sz w:val="22"/>
                <w:szCs w:val="22"/>
                <w:highlight w:val="none"/>
              </w:rPr>
            </w:pPr>
            <w:r>
              <w:rPr>
                <w:rStyle w:val="7"/>
                <w:rFonts w:hint="eastAsia" w:ascii="仿宋" w:hAnsi="仿宋" w:eastAsia="仿宋" w:cs="仿宋"/>
                <w:color w:val="auto"/>
                <w:kern w:val="0"/>
                <w:sz w:val="22"/>
                <w:szCs w:val="22"/>
                <w:highlight w:val="none"/>
                <w:lang w:val="en-US" w:eastAsia="zh-CN" w:bidi="ar"/>
              </w:rPr>
              <w:t>技术部分</w:t>
            </w:r>
          </w:p>
        </w:tc>
        <w:tc>
          <w:tcPr>
            <w:tcW w:w="704" w:type="dxa"/>
            <w:vMerge w:val="restart"/>
            <w:shd w:val="clear" w:color="auto" w:fill="auto"/>
            <w:vAlign w:val="center"/>
          </w:tcPr>
          <w:p w14:paraId="47929D79">
            <w:pPr>
              <w:keepNext w:val="0"/>
              <w:keepLines w:val="0"/>
              <w:widowControl/>
              <w:suppressLineNumbers w:val="0"/>
              <w:jc w:val="center"/>
              <w:rPr>
                <w:rFonts w:hint="eastAsia" w:ascii="仿宋" w:hAnsi="仿宋" w:eastAsia="仿宋" w:cs="仿宋"/>
                <w:color w:val="auto"/>
                <w:sz w:val="22"/>
                <w:szCs w:val="22"/>
                <w:highlight w:val="none"/>
              </w:rPr>
            </w:pPr>
            <w:r>
              <w:rPr>
                <w:rStyle w:val="7"/>
                <w:rFonts w:hint="eastAsia" w:ascii="仿宋" w:hAnsi="仿宋" w:eastAsia="仿宋" w:cs="仿宋"/>
                <w:color w:val="auto"/>
                <w:kern w:val="0"/>
                <w:sz w:val="22"/>
                <w:szCs w:val="22"/>
                <w:highlight w:val="none"/>
                <w:lang w:val="en-US" w:eastAsia="zh-CN" w:bidi="ar"/>
              </w:rPr>
              <w:t>22分</w:t>
            </w:r>
          </w:p>
        </w:tc>
        <w:tc>
          <w:tcPr>
            <w:tcW w:w="704" w:type="dxa"/>
            <w:shd w:val="clear" w:color="auto" w:fill="auto"/>
            <w:vAlign w:val="center"/>
          </w:tcPr>
          <w:p w14:paraId="7124F543">
            <w:pPr>
              <w:keepNext w:val="0"/>
              <w:keepLines w:val="0"/>
              <w:widowControl/>
              <w:suppressLineNumbers w:val="0"/>
              <w:jc w:val="center"/>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val="en-US" w:eastAsia="zh-CN" w:bidi="ar"/>
              </w:rPr>
              <w:t>核心管理制度</w:t>
            </w:r>
          </w:p>
        </w:tc>
        <w:tc>
          <w:tcPr>
            <w:tcW w:w="1111" w:type="dxa"/>
            <w:shd w:val="clear" w:color="auto" w:fill="auto"/>
            <w:vAlign w:val="center"/>
          </w:tcPr>
          <w:p w14:paraId="594E144E">
            <w:pPr>
              <w:keepNext w:val="0"/>
              <w:keepLines w:val="0"/>
              <w:widowControl/>
              <w:suppressLineNumbers w:val="0"/>
              <w:jc w:val="center"/>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val="en-US" w:eastAsia="zh-CN" w:bidi="ar"/>
              </w:rPr>
              <w:t>7分</w:t>
            </w:r>
          </w:p>
        </w:tc>
        <w:tc>
          <w:tcPr>
            <w:tcW w:w="4655" w:type="dxa"/>
            <w:shd w:val="clear" w:color="auto" w:fill="auto"/>
            <w:vAlign w:val="center"/>
          </w:tcPr>
          <w:p w14:paraId="66C92691">
            <w:pPr>
              <w:keepNext w:val="0"/>
              <w:keepLines w:val="0"/>
              <w:widowControl/>
              <w:suppressLineNumbers w:val="0"/>
              <w:jc w:val="left"/>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val="en-US" w:eastAsia="zh-CN" w:bidi="ar"/>
              </w:rPr>
              <w:t>提供药品管理、医疗设备器材管理、医疗垃圾回收处理、环境消毒4项制度：4项全部满足或优于需求得7分；3项满足得5分；2项满足得3分；1项满足得1分；无得0分。</w:t>
            </w:r>
          </w:p>
        </w:tc>
      </w:tr>
      <w:tr w14:paraId="39E27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15" w:type="dxa"/>
        </w:trPr>
        <w:tc>
          <w:tcPr>
            <w:tcW w:w="779" w:type="dxa"/>
            <w:vMerge w:val="continue"/>
            <w:shd w:val="clear" w:color="auto" w:fill="auto"/>
            <w:vAlign w:val="center"/>
          </w:tcPr>
          <w:p w14:paraId="4D154AB0">
            <w:pPr>
              <w:jc w:val="center"/>
              <w:rPr>
                <w:rFonts w:hint="eastAsia" w:ascii="仿宋" w:hAnsi="仿宋" w:eastAsia="仿宋" w:cs="仿宋"/>
                <w:color w:val="auto"/>
                <w:sz w:val="22"/>
                <w:szCs w:val="22"/>
                <w:highlight w:val="none"/>
              </w:rPr>
            </w:pPr>
          </w:p>
        </w:tc>
        <w:tc>
          <w:tcPr>
            <w:tcW w:w="704" w:type="dxa"/>
            <w:vMerge w:val="continue"/>
            <w:shd w:val="clear" w:color="auto" w:fill="auto"/>
            <w:vAlign w:val="center"/>
          </w:tcPr>
          <w:p w14:paraId="045F12AC">
            <w:pPr>
              <w:jc w:val="center"/>
              <w:rPr>
                <w:rFonts w:hint="eastAsia" w:ascii="仿宋" w:hAnsi="仿宋" w:eastAsia="仿宋" w:cs="仿宋"/>
                <w:color w:val="auto"/>
                <w:sz w:val="22"/>
                <w:szCs w:val="22"/>
                <w:highlight w:val="none"/>
              </w:rPr>
            </w:pPr>
          </w:p>
        </w:tc>
        <w:tc>
          <w:tcPr>
            <w:tcW w:w="704" w:type="dxa"/>
            <w:shd w:val="clear" w:color="auto" w:fill="auto"/>
            <w:vAlign w:val="center"/>
          </w:tcPr>
          <w:p w14:paraId="3699FFAD">
            <w:pPr>
              <w:keepNext w:val="0"/>
              <w:keepLines w:val="0"/>
              <w:widowControl/>
              <w:suppressLineNumbers w:val="0"/>
              <w:jc w:val="center"/>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val="en-US" w:eastAsia="zh-CN" w:bidi="ar"/>
              </w:rPr>
              <w:t>设备及药品配备方案</w:t>
            </w:r>
          </w:p>
        </w:tc>
        <w:tc>
          <w:tcPr>
            <w:tcW w:w="1111" w:type="dxa"/>
            <w:shd w:val="clear" w:color="auto" w:fill="auto"/>
            <w:vAlign w:val="center"/>
          </w:tcPr>
          <w:p w14:paraId="214633F5">
            <w:pPr>
              <w:keepNext w:val="0"/>
              <w:keepLines w:val="0"/>
              <w:widowControl/>
              <w:suppressLineNumbers w:val="0"/>
              <w:jc w:val="center"/>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val="en-US" w:eastAsia="zh-CN" w:bidi="ar"/>
              </w:rPr>
              <w:t>6分</w:t>
            </w:r>
          </w:p>
        </w:tc>
        <w:tc>
          <w:tcPr>
            <w:tcW w:w="4655" w:type="dxa"/>
            <w:shd w:val="clear" w:color="auto" w:fill="auto"/>
            <w:vAlign w:val="center"/>
          </w:tcPr>
          <w:p w14:paraId="63DE1C44">
            <w:pPr>
              <w:keepNext w:val="0"/>
              <w:keepLines w:val="0"/>
              <w:widowControl/>
              <w:suppressLineNumbers w:val="0"/>
              <w:jc w:val="left"/>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val="en-US" w:eastAsia="zh-CN" w:bidi="ar"/>
              </w:rPr>
              <w:t>提供医疗设备配备、药品配备、耗材配备3项完整方案：3项全部满足或优于需求得6分；2项满足得4分；1项满足得2分；无得0分。</w:t>
            </w:r>
          </w:p>
        </w:tc>
      </w:tr>
      <w:tr w14:paraId="198C8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15" w:type="dxa"/>
        </w:trPr>
        <w:tc>
          <w:tcPr>
            <w:tcW w:w="779" w:type="dxa"/>
            <w:vMerge w:val="continue"/>
            <w:shd w:val="clear" w:color="auto" w:fill="auto"/>
            <w:vAlign w:val="center"/>
          </w:tcPr>
          <w:p w14:paraId="4B20635D">
            <w:pPr>
              <w:jc w:val="center"/>
              <w:rPr>
                <w:rFonts w:hint="eastAsia" w:ascii="仿宋" w:hAnsi="仿宋" w:eastAsia="仿宋" w:cs="仿宋"/>
                <w:color w:val="auto"/>
                <w:sz w:val="22"/>
                <w:szCs w:val="22"/>
                <w:highlight w:val="none"/>
              </w:rPr>
            </w:pPr>
          </w:p>
        </w:tc>
        <w:tc>
          <w:tcPr>
            <w:tcW w:w="704" w:type="dxa"/>
            <w:vMerge w:val="continue"/>
            <w:shd w:val="clear" w:color="auto" w:fill="auto"/>
            <w:vAlign w:val="center"/>
          </w:tcPr>
          <w:p w14:paraId="64862FCF">
            <w:pPr>
              <w:jc w:val="center"/>
              <w:rPr>
                <w:rFonts w:hint="eastAsia" w:ascii="仿宋" w:hAnsi="仿宋" w:eastAsia="仿宋" w:cs="仿宋"/>
                <w:color w:val="auto"/>
                <w:sz w:val="22"/>
                <w:szCs w:val="22"/>
                <w:highlight w:val="none"/>
              </w:rPr>
            </w:pPr>
          </w:p>
        </w:tc>
        <w:tc>
          <w:tcPr>
            <w:tcW w:w="704" w:type="dxa"/>
            <w:shd w:val="clear" w:color="auto" w:fill="auto"/>
            <w:vAlign w:val="center"/>
          </w:tcPr>
          <w:p w14:paraId="60F640F7">
            <w:pPr>
              <w:keepNext w:val="0"/>
              <w:keepLines w:val="0"/>
              <w:widowControl/>
              <w:suppressLineNumbers w:val="0"/>
              <w:jc w:val="center"/>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val="en-US" w:eastAsia="zh-CN" w:bidi="ar"/>
              </w:rPr>
              <w:t>应急和保障预案</w:t>
            </w:r>
          </w:p>
        </w:tc>
        <w:tc>
          <w:tcPr>
            <w:tcW w:w="1111" w:type="dxa"/>
            <w:shd w:val="clear" w:color="auto" w:fill="auto"/>
            <w:vAlign w:val="center"/>
          </w:tcPr>
          <w:p w14:paraId="44B752AE">
            <w:pPr>
              <w:keepNext w:val="0"/>
              <w:keepLines w:val="0"/>
              <w:widowControl/>
              <w:suppressLineNumbers w:val="0"/>
              <w:jc w:val="center"/>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val="en-US" w:eastAsia="zh-CN" w:bidi="ar"/>
              </w:rPr>
              <w:t>4分</w:t>
            </w:r>
          </w:p>
        </w:tc>
        <w:tc>
          <w:tcPr>
            <w:tcW w:w="4655" w:type="dxa"/>
            <w:shd w:val="clear" w:color="auto" w:fill="auto"/>
            <w:vAlign w:val="center"/>
          </w:tcPr>
          <w:p w14:paraId="24A0E36E">
            <w:pPr>
              <w:keepNext w:val="0"/>
              <w:keepLines w:val="0"/>
              <w:widowControl/>
              <w:suppressLineNumbers w:val="0"/>
              <w:jc w:val="left"/>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val="en-US" w:eastAsia="zh-CN" w:bidi="ar"/>
              </w:rPr>
              <w:t>提供突发事件医疗应急预案、重大活动医疗保障预案：2项全部满足且流程清晰可操作得4分；1项满足得2分；无得0分。</w:t>
            </w:r>
          </w:p>
        </w:tc>
      </w:tr>
      <w:tr w14:paraId="0D582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15" w:type="dxa"/>
        </w:trPr>
        <w:tc>
          <w:tcPr>
            <w:tcW w:w="779" w:type="dxa"/>
            <w:vMerge w:val="continue"/>
            <w:shd w:val="clear" w:color="auto" w:fill="auto"/>
            <w:vAlign w:val="center"/>
          </w:tcPr>
          <w:p w14:paraId="364845C8">
            <w:pPr>
              <w:jc w:val="center"/>
              <w:rPr>
                <w:rFonts w:hint="eastAsia" w:ascii="仿宋" w:hAnsi="仿宋" w:eastAsia="仿宋" w:cs="仿宋"/>
                <w:color w:val="auto"/>
                <w:sz w:val="22"/>
                <w:szCs w:val="22"/>
                <w:highlight w:val="none"/>
              </w:rPr>
            </w:pPr>
          </w:p>
        </w:tc>
        <w:tc>
          <w:tcPr>
            <w:tcW w:w="704" w:type="dxa"/>
            <w:vMerge w:val="continue"/>
            <w:shd w:val="clear" w:color="auto" w:fill="auto"/>
            <w:vAlign w:val="center"/>
          </w:tcPr>
          <w:p w14:paraId="66C3AE82">
            <w:pPr>
              <w:jc w:val="center"/>
              <w:rPr>
                <w:rFonts w:hint="eastAsia" w:ascii="仿宋" w:hAnsi="仿宋" w:eastAsia="仿宋" w:cs="仿宋"/>
                <w:color w:val="auto"/>
                <w:sz w:val="22"/>
                <w:szCs w:val="22"/>
                <w:highlight w:val="none"/>
              </w:rPr>
            </w:pPr>
          </w:p>
        </w:tc>
        <w:tc>
          <w:tcPr>
            <w:tcW w:w="704" w:type="dxa"/>
            <w:shd w:val="clear" w:color="auto" w:fill="auto"/>
            <w:vAlign w:val="center"/>
          </w:tcPr>
          <w:p w14:paraId="3009D384">
            <w:pPr>
              <w:keepNext w:val="0"/>
              <w:keepLines w:val="0"/>
              <w:widowControl/>
              <w:suppressLineNumbers w:val="0"/>
              <w:jc w:val="center"/>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val="en-US" w:eastAsia="zh-CN" w:bidi="ar"/>
              </w:rPr>
              <w:t>校园特色服务方案</w:t>
            </w:r>
          </w:p>
        </w:tc>
        <w:tc>
          <w:tcPr>
            <w:tcW w:w="1111" w:type="dxa"/>
            <w:shd w:val="clear" w:color="auto" w:fill="auto"/>
            <w:vAlign w:val="center"/>
          </w:tcPr>
          <w:p w14:paraId="662C4D64">
            <w:pPr>
              <w:keepNext w:val="0"/>
              <w:keepLines w:val="0"/>
              <w:widowControl/>
              <w:suppressLineNumbers w:val="0"/>
              <w:jc w:val="center"/>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val="en-US" w:eastAsia="zh-CN" w:bidi="ar"/>
              </w:rPr>
              <w:t>5分</w:t>
            </w:r>
          </w:p>
        </w:tc>
        <w:tc>
          <w:tcPr>
            <w:tcW w:w="4655" w:type="dxa"/>
            <w:shd w:val="clear" w:color="auto" w:fill="auto"/>
            <w:vAlign w:val="center"/>
          </w:tcPr>
          <w:p w14:paraId="0C8734A5">
            <w:pPr>
              <w:keepNext w:val="0"/>
              <w:keepLines w:val="0"/>
              <w:widowControl/>
              <w:suppressLineNumbers w:val="0"/>
              <w:jc w:val="left"/>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val="en-US" w:eastAsia="zh-CN" w:bidi="ar"/>
              </w:rPr>
              <w:t>方案贴合师生需求、有可落地措施得4-5分；方案基本合理得2-3分；方案空泛无针对性得1分；无方案得0分。</w:t>
            </w:r>
          </w:p>
        </w:tc>
      </w:tr>
      <w:tr w14:paraId="45DBE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15" w:type="dxa"/>
        </w:trPr>
        <w:tc>
          <w:tcPr>
            <w:tcW w:w="779" w:type="dxa"/>
            <w:shd w:val="clear" w:color="auto" w:fill="auto"/>
            <w:vAlign w:val="center"/>
          </w:tcPr>
          <w:p w14:paraId="21083632">
            <w:pPr>
              <w:keepNext w:val="0"/>
              <w:keepLines w:val="0"/>
              <w:widowControl/>
              <w:suppressLineNumbers w:val="0"/>
              <w:jc w:val="center"/>
              <w:rPr>
                <w:rFonts w:hint="eastAsia" w:ascii="仿宋" w:hAnsi="仿宋" w:eastAsia="仿宋" w:cs="仿宋"/>
                <w:color w:val="auto"/>
                <w:sz w:val="22"/>
                <w:szCs w:val="22"/>
                <w:highlight w:val="none"/>
              </w:rPr>
            </w:pPr>
            <w:r>
              <w:rPr>
                <w:rStyle w:val="7"/>
                <w:rFonts w:hint="eastAsia" w:ascii="仿宋" w:hAnsi="仿宋" w:eastAsia="仿宋" w:cs="仿宋"/>
                <w:color w:val="auto"/>
                <w:kern w:val="0"/>
                <w:sz w:val="22"/>
                <w:szCs w:val="22"/>
                <w:highlight w:val="none"/>
                <w:lang w:val="en-US" w:eastAsia="zh-CN" w:bidi="ar"/>
              </w:rPr>
              <w:t>投标报价</w:t>
            </w:r>
          </w:p>
        </w:tc>
        <w:tc>
          <w:tcPr>
            <w:tcW w:w="704" w:type="dxa"/>
            <w:shd w:val="clear" w:color="auto" w:fill="auto"/>
            <w:vAlign w:val="center"/>
          </w:tcPr>
          <w:p w14:paraId="3208B924">
            <w:pPr>
              <w:keepNext w:val="0"/>
              <w:keepLines w:val="0"/>
              <w:widowControl/>
              <w:suppressLineNumbers w:val="0"/>
              <w:jc w:val="center"/>
              <w:rPr>
                <w:rFonts w:hint="eastAsia" w:ascii="仿宋" w:hAnsi="仿宋" w:eastAsia="仿宋" w:cs="仿宋"/>
                <w:color w:val="auto"/>
                <w:sz w:val="22"/>
                <w:szCs w:val="22"/>
                <w:highlight w:val="none"/>
              </w:rPr>
            </w:pPr>
            <w:r>
              <w:rPr>
                <w:rStyle w:val="7"/>
                <w:rFonts w:hint="eastAsia" w:ascii="仿宋" w:hAnsi="仿宋" w:eastAsia="仿宋" w:cs="仿宋"/>
                <w:color w:val="auto"/>
                <w:kern w:val="0"/>
                <w:sz w:val="22"/>
                <w:szCs w:val="22"/>
                <w:highlight w:val="none"/>
                <w:lang w:val="en-US" w:eastAsia="zh-CN" w:bidi="ar"/>
              </w:rPr>
              <w:t>30分</w:t>
            </w:r>
          </w:p>
        </w:tc>
        <w:tc>
          <w:tcPr>
            <w:tcW w:w="704" w:type="dxa"/>
            <w:shd w:val="clear" w:color="auto" w:fill="auto"/>
            <w:vAlign w:val="center"/>
          </w:tcPr>
          <w:p w14:paraId="2B4D78C6">
            <w:pPr>
              <w:keepNext w:val="0"/>
              <w:keepLines w:val="0"/>
              <w:widowControl/>
              <w:suppressLineNumbers w:val="0"/>
              <w:jc w:val="center"/>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val="en-US" w:eastAsia="zh-CN" w:bidi="ar"/>
              </w:rPr>
              <w:t>价格合理性</w:t>
            </w:r>
          </w:p>
        </w:tc>
        <w:tc>
          <w:tcPr>
            <w:tcW w:w="1111" w:type="dxa"/>
            <w:shd w:val="clear" w:color="auto" w:fill="auto"/>
            <w:vAlign w:val="center"/>
          </w:tcPr>
          <w:p w14:paraId="21463BB0">
            <w:pPr>
              <w:keepNext w:val="0"/>
              <w:keepLines w:val="0"/>
              <w:widowControl/>
              <w:suppressLineNumbers w:val="0"/>
              <w:jc w:val="center"/>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val="en-US" w:eastAsia="zh-CN" w:bidi="ar"/>
              </w:rPr>
              <w:t>30分</w:t>
            </w:r>
          </w:p>
        </w:tc>
        <w:tc>
          <w:tcPr>
            <w:tcW w:w="4655" w:type="dxa"/>
            <w:shd w:val="clear" w:color="auto" w:fill="auto"/>
            <w:vAlign w:val="center"/>
          </w:tcPr>
          <w:p w14:paraId="53B9AB6C">
            <w:pPr>
              <w:keepNext w:val="0"/>
              <w:keepLines w:val="0"/>
              <w:widowControl/>
              <w:suppressLineNumbers w:val="0"/>
              <w:jc w:val="left"/>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val="en-US" w:eastAsia="zh-CN" w:bidi="ar"/>
              </w:rPr>
              <w:t>满足采购文件要求且投报价格最低的投标价为评审基准价，其价格分为满分30分；其他投标人得分=（评标基准价/投标报价）×30（保留两位小数）</w:t>
            </w:r>
          </w:p>
        </w:tc>
      </w:tr>
      <w:tr w14:paraId="60396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15" w:type="dxa"/>
        </w:trPr>
        <w:tc>
          <w:tcPr>
            <w:tcW w:w="779" w:type="dxa"/>
            <w:shd w:val="clear" w:color="auto" w:fill="auto"/>
            <w:vAlign w:val="center"/>
          </w:tcPr>
          <w:p w14:paraId="39D5B7C8">
            <w:pPr>
              <w:keepNext w:val="0"/>
              <w:keepLines w:val="0"/>
              <w:widowControl/>
              <w:suppressLineNumbers w:val="0"/>
              <w:jc w:val="center"/>
              <w:rPr>
                <w:rFonts w:hint="eastAsia" w:ascii="仿宋" w:hAnsi="仿宋" w:eastAsia="仿宋" w:cs="仿宋"/>
                <w:color w:val="auto"/>
                <w:sz w:val="22"/>
                <w:szCs w:val="22"/>
                <w:highlight w:val="none"/>
              </w:rPr>
            </w:pPr>
            <w:r>
              <w:rPr>
                <w:rStyle w:val="7"/>
                <w:rFonts w:hint="eastAsia" w:ascii="仿宋" w:hAnsi="仿宋" w:eastAsia="仿宋" w:cs="仿宋"/>
                <w:color w:val="auto"/>
                <w:kern w:val="0"/>
                <w:sz w:val="22"/>
                <w:szCs w:val="22"/>
                <w:highlight w:val="none"/>
                <w:lang w:val="en-US" w:eastAsia="zh-CN" w:bidi="ar"/>
              </w:rPr>
              <w:t>合计</w:t>
            </w:r>
          </w:p>
        </w:tc>
        <w:tc>
          <w:tcPr>
            <w:tcW w:w="704" w:type="dxa"/>
            <w:shd w:val="clear" w:color="auto" w:fill="auto"/>
            <w:vAlign w:val="center"/>
          </w:tcPr>
          <w:p w14:paraId="2907CE6A">
            <w:pPr>
              <w:keepNext w:val="0"/>
              <w:keepLines w:val="0"/>
              <w:widowControl/>
              <w:suppressLineNumbers w:val="0"/>
              <w:jc w:val="center"/>
              <w:rPr>
                <w:rFonts w:hint="eastAsia" w:ascii="仿宋" w:hAnsi="仿宋" w:eastAsia="仿宋" w:cs="仿宋"/>
                <w:color w:val="auto"/>
                <w:sz w:val="22"/>
                <w:szCs w:val="22"/>
                <w:highlight w:val="none"/>
              </w:rPr>
            </w:pPr>
            <w:r>
              <w:rPr>
                <w:rStyle w:val="7"/>
                <w:rFonts w:hint="eastAsia" w:ascii="仿宋" w:hAnsi="仿宋" w:eastAsia="仿宋" w:cs="仿宋"/>
                <w:color w:val="auto"/>
                <w:kern w:val="0"/>
                <w:sz w:val="22"/>
                <w:szCs w:val="22"/>
                <w:highlight w:val="none"/>
                <w:lang w:val="en-US" w:eastAsia="zh-CN" w:bidi="ar"/>
              </w:rPr>
              <w:t>100分</w:t>
            </w:r>
          </w:p>
        </w:tc>
        <w:tc>
          <w:tcPr>
            <w:tcW w:w="704" w:type="dxa"/>
            <w:shd w:val="clear" w:color="auto" w:fill="auto"/>
            <w:vAlign w:val="center"/>
          </w:tcPr>
          <w:p w14:paraId="763911C7">
            <w:pPr>
              <w:jc w:val="center"/>
              <w:rPr>
                <w:rFonts w:hint="eastAsia" w:ascii="仿宋" w:hAnsi="仿宋" w:eastAsia="仿宋" w:cs="仿宋"/>
                <w:color w:val="auto"/>
                <w:sz w:val="22"/>
                <w:szCs w:val="22"/>
                <w:highlight w:val="none"/>
              </w:rPr>
            </w:pPr>
          </w:p>
        </w:tc>
        <w:tc>
          <w:tcPr>
            <w:tcW w:w="1111" w:type="dxa"/>
            <w:shd w:val="clear" w:color="auto" w:fill="auto"/>
            <w:vAlign w:val="center"/>
          </w:tcPr>
          <w:p w14:paraId="74D4522D">
            <w:pPr>
              <w:jc w:val="center"/>
              <w:rPr>
                <w:rFonts w:hint="eastAsia" w:ascii="仿宋" w:hAnsi="仿宋" w:eastAsia="仿宋" w:cs="仿宋"/>
                <w:color w:val="auto"/>
                <w:sz w:val="22"/>
                <w:szCs w:val="22"/>
                <w:highlight w:val="none"/>
              </w:rPr>
            </w:pPr>
          </w:p>
        </w:tc>
        <w:tc>
          <w:tcPr>
            <w:tcW w:w="4655" w:type="dxa"/>
            <w:shd w:val="clear" w:color="auto" w:fill="auto"/>
            <w:vAlign w:val="center"/>
          </w:tcPr>
          <w:p w14:paraId="518BCE0A">
            <w:pPr>
              <w:jc w:val="left"/>
              <w:rPr>
                <w:rFonts w:hint="eastAsia" w:ascii="仿宋" w:hAnsi="仿宋" w:eastAsia="仿宋" w:cs="仿宋"/>
                <w:color w:val="auto"/>
                <w:sz w:val="22"/>
                <w:szCs w:val="22"/>
                <w:highlight w:val="none"/>
              </w:rPr>
            </w:pPr>
          </w:p>
        </w:tc>
      </w:tr>
    </w:tbl>
    <w:p w14:paraId="7D7FD4E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rPr>
          <w:rFonts w:hint="eastAsia" w:ascii="仿宋" w:hAnsi="仿宋" w:eastAsia="仿宋" w:cs="仿宋"/>
          <w:strike/>
          <w:dstrike w:val="0"/>
          <w:color w:val="auto"/>
          <w:sz w:val="24"/>
          <w:szCs w:val="24"/>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E67FA7"/>
    <w:rsid w:val="071E0F8F"/>
    <w:rsid w:val="10A06730"/>
    <w:rsid w:val="137162F6"/>
    <w:rsid w:val="157601E9"/>
    <w:rsid w:val="21970223"/>
    <w:rsid w:val="310B2ACD"/>
    <w:rsid w:val="342B04D4"/>
    <w:rsid w:val="350A63F0"/>
    <w:rsid w:val="3652709D"/>
    <w:rsid w:val="39B4157B"/>
    <w:rsid w:val="3CE30E59"/>
    <w:rsid w:val="3EE85404"/>
    <w:rsid w:val="45AA19D8"/>
    <w:rsid w:val="4D4F0F2C"/>
    <w:rsid w:val="586631C9"/>
    <w:rsid w:val="5BB64468"/>
    <w:rsid w:val="5ED279B9"/>
    <w:rsid w:val="626420D4"/>
    <w:rsid w:val="64037B12"/>
    <w:rsid w:val="64FD4EB5"/>
    <w:rsid w:val="6A9400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5429</Words>
  <Characters>5573</Characters>
  <Lines>0</Lines>
  <Paragraphs>0</Paragraphs>
  <TotalTime>2</TotalTime>
  <ScaleCrop>false</ScaleCrop>
  <LinksUpToDate>false</LinksUpToDate>
  <CharactersWithSpaces>5573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2026-06-10T00:48:00Z</dcterms:created>
  <dc:creator>Administrator</dc:creator>
  <cp:lastModifiedBy>李天威</cp:lastModifiedBy>
  <dcterms:modified xsi:type="dcterms:W3CDTF">2026-06-25T08:17:16Z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eyJoZGlkIjoiZGU3YjZmMzRhYWM5MzkxMmIzNzY2Mzk5NzU2OTEzNTEiLCJ1c2VySWQiOiIyNTczMzIzMjMifQ==</vt:lpwstr>
  </property>
  <property fmtid="{D5CDD505-2E9C-101B-9397-08002B2CF9AE}" pid="4" name="ICV">
    <vt:lpwstr>3176829EF8094A4C9030CC87890BD42A_13</vt:lpwstr>
  </property>
</Properties>
</file>