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rPr>
      </w:pPr>
      <w:r>
        <w:rPr>
          <w:rFonts w:hint="eastAsia" w:ascii="仿宋" w:hAnsi="仿宋" w:eastAsia="仿宋"/>
          <w:sz w:val="32"/>
        </w:rPr>
        <w:t>采购招标项目参数要求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31"/>
        <w:gridCol w:w="2752"/>
        <w:gridCol w:w="1626"/>
        <w:gridCol w:w="1374"/>
        <w:gridCol w:w="1100"/>
      </w:tblGrid>
      <w:tr>
        <w:trPr>
          <w:trHeight w:val="567" w:hRule="atLeast"/>
          <w:jc w:val="center"/>
        </w:trPr>
        <w:tc>
          <w:tcPr>
            <w:tcW w:w="2256" w:type="dxa"/>
            <w:gridSpan w:val="2"/>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项目名称</w:t>
            </w:r>
          </w:p>
        </w:tc>
        <w:tc>
          <w:tcPr>
            <w:tcW w:w="2752"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教学存储扩容项目</w:t>
            </w:r>
          </w:p>
        </w:tc>
        <w:tc>
          <w:tcPr>
            <w:tcW w:w="1626" w:type="dxa"/>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采购编号</w:t>
            </w:r>
          </w:p>
        </w:tc>
        <w:tc>
          <w:tcPr>
            <w:tcW w:w="2474" w:type="dxa"/>
            <w:gridSpan w:val="2"/>
            <w:vAlign w:val="center"/>
          </w:tcPr>
          <w:p>
            <w:pPr>
              <w:jc w:val="center"/>
              <w:rPr>
                <w:rFonts w:hint="eastAsia" w:ascii="仿宋" w:hAnsi="仿宋" w:eastAsia="仿宋" w:cs="仿宋"/>
                <w:sz w:val="24"/>
                <w:szCs w:val="24"/>
              </w:rPr>
            </w:pPr>
          </w:p>
        </w:tc>
      </w:tr>
      <w:tr>
        <w:trPr>
          <w:trHeight w:val="567" w:hRule="atLeast"/>
          <w:jc w:val="center"/>
        </w:trPr>
        <w:tc>
          <w:tcPr>
            <w:tcW w:w="2256" w:type="dxa"/>
            <w:gridSpan w:val="2"/>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供货时间</w:t>
            </w:r>
          </w:p>
        </w:tc>
        <w:tc>
          <w:tcPr>
            <w:tcW w:w="2752" w:type="dxa"/>
            <w:vAlign w:val="center"/>
          </w:tcPr>
          <w:p>
            <w:pPr>
              <w:jc w:val="center"/>
              <w:rPr>
                <w:rFonts w:hint="eastAsia" w:ascii="仿宋" w:hAnsi="仿宋" w:eastAsia="仿宋" w:cs="仿宋"/>
                <w:sz w:val="24"/>
                <w:szCs w:val="24"/>
              </w:rPr>
            </w:pPr>
          </w:p>
        </w:tc>
        <w:tc>
          <w:tcPr>
            <w:tcW w:w="1626" w:type="dxa"/>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供货地点</w:t>
            </w:r>
          </w:p>
        </w:tc>
        <w:tc>
          <w:tcPr>
            <w:tcW w:w="2474" w:type="dxa"/>
            <w:gridSpan w:val="2"/>
            <w:vAlign w:val="center"/>
          </w:tcPr>
          <w:p>
            <w:pPr>
              <w:jc w:val="center"/>
              <w:rPr>
                <w:rFonts w:hint="eastAsia" w:ascii="仿宋" w:hAnsi="仿宋" w:eastAsia="仿宋" w:cs="仿宋"/>
                <w:sz w:val="24"/>
                <w:szCs w:val="24"/>
                <w:lang w:val="en-US" w:eastAsia="zh-CN"/>
              </w:rPr>
            </w:pPr>
          </w:p>
        </w:tc>
      </w:tr>
      <w:tr>
        <w:trPr>
          <w:trHeight w:val="567" w:hRule="atLeast"/>
          <w:jc w:val="center"/>
        </w:trPr>
        <w:tc>
          <w:tcPr>
            <w:tcW w:w="2256" w:type="dxa"/>
            <w:gridSpan w:val="2"/>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售后服务要求</w:t>
            </w:r>
          </w:p>
        </w:tc>
        <w:tc>
          <w:tcPr>
            <w:tcW w:w="6852" w:type="dxa"/>
            <w:gridSpan w:val="4"/>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验收合格之日起，（</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）年</w:t>
            </w:r>
          </w:p>
        </w:tc>
      </w:tr>
      <w:tr>
        <w:trPr>
          <w:trHeight w:val="567" w:hRule="atLeast"/>
          <w:jc w:val="center"/>
        </w:trPr>
        <w:tc>
          <w:tcPr>
            <w:tcW w:w="2256" w:type="dxa"/>
            <w:gridSpan w:val="2"/>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安装调试要求</w:t>
            </w:r>
          </w:p>
        </w:tc>
        <w:tc>
          <w:tcPr>
            <w:tcW w:w="6852" w:type="dxa"/>
            <w:gridSpan w:val="4"/>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安装到指定供货地点，并对使用人员进行培训。</w:t>
            </w:r>
          </w:p>
        </w:tc>
      </w:tr>
      <w:tr>
        <w:trPr>
          <w:trHeight w:val="608" w:hRule="atLeast"/>
          <w:jc w:val="center"/>
        </w:trPr>
        <w:tc>
          <w:tcPr>
            <w:tcW w:w="2256" w:type="dxa"/>
            <w:gridSpan w:val="2"/>
            <w:vAlign w:val="center"/>
          </w:tcPr>
          <w:p>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验收、付款方式</w:t>
            </w:r>
          </w:p>
        </w:tc>
        <w:tc>
          <w:tcPr>
            <w:tcW w:w="6852" w:type="dxa"/>
            <w:gridSpan w:val="4"/>
          </w:tcPr>
          <w:p>
            <w:pPr>
              <w:rPr>
                <w:rFonts w:hint="eastAsia" w:ascii="仿宋" w:hAnsi="仿宋" w:eastAsia="仿宋" w:cs="仿宋"/>
                <w:sz w:val="24"/>
                <w:szCs w:val="24"/>
              </w:rPr>
            </w:pPr>
            <w:r>
              <w:rPr>
                <w:rFonts w:hint="eastAsia" w:ascii="仿宋" w:hAnsi="仿宋" w:eastAsia="仿宋" w:cs="仿宋"/>
                <w:sz w:val="24"/>
                <w:szCs w:val="24"/>
                <w:lang w:val="en-US" w:eastAsia="zh-CN"/>
              </w:rPr>
              <w:t>设备安装调试完成后20个工作日内，由验收小组进行专项验收。验收合格后一次性支付至合同总金额的95%，剩余5%作为质量保证金。</w:t>
            </w:r>
          </w:p>
        </w:tc>
      </w:tr>
      <w:tr>
        <w:trPr>
          <w:trHeight w:val="1258" w:hRule="atLeast"/>
          <w:jc w:val="center"/>
        </w:trPr>
        <w:tc>
          <w:tcPr>
            <w:tcW w:w="9108" w:type="dxa"/>
            <w:gridSpan w:val="6"/>
          </w:tcPr>
          <w:p>
            <w:pPr>
              <w:rPr>
                <w:rFonts w:hint="eastAsia" w:ascii="仿宋" w:hAnsi="仿宋" w:eastAsia="仿宋" w:cs="仿宋"/>
                <w:sz w:val="24"/>
                <w:szCs w:val="24"/>
              </w:rPr>
            </w:pPr>
            <w:r>
              <w:rPr>
                <w:rFonts w:hint="eastAsia" w:ascii="仿宋" w:hAnsi="仿宋" w:eastAsia="仿宋" w:cs="仿宋"/>
                <w:b/>
                <w:bCs/>
                <w:sz w:val="24"/>
                <w:szCs w:val="24"/>
              </w:rPr>
              <w:t>项目概述</w:t>
            </w:r>
            <w:r>
              <w:rPr>
                <w:rFonts w:hint="eastAsia" w:ascii="仿宋" w:hAnsi="仿宋" w:eastAsia="仿宋" w:cs="仿宋"/>
                <w:sz w:val="24"/>
                <w:szCs w:val="24"/>
              </w:rPr>
              <w:t>：</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核心机房现有存储空间310T，目前已使用265T，因教务处清华在线系统和计算机学院头歌教学平台需要更多存储资源满足使用需要，因此需要对现有存储进行扩容。上述两个部门共计提出需求31T。</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本次计划扩容84T，扩容后理论可用空间为67T。</w:t>
            </w:r>
          </w:p>
          <w:p>
            <w:pPr>
              <w:rPr>
                <w:rFonts w:hint="eastAsia" w:ascii="仿宋" w:hAnsi="仿宋" w:eastAsia="仿宋" w:cs="仿宋"/>
                <w:sz w:val="24"/>
                <w:szCs w:val="24"/>
                <w:lang w:eastAsia="zh-CN"/>
              </w:rPr>
            </w:pPr>
          </w:p>
        </w:tc>
      </w:tr>
      <w:tr>
        <w:trPr>
          <w:trHeight w:val="567" w:hRule="atLeast"/>
          <w:jc w:val="center"/>
        </w:trPr>
        <w:tc>
          <w:tcPr>
            <w:tcW w:w="9108" w:type="dxa"/>
            <w:gridSpan w:val="6"/>
            <w:vAlign w:val="center"/>
          </w:tcPr>
          <w:p>
            <w:pPr>
              <w:jc w:val="both"/>
              <w:rPr>
                <w:rFonts w:hint="eastAsia" w:ascii="仿宋" w:hAnsi="仿宋" w:eastAsia="仿宋" w:cs="仿宋"/>
                <w:b/>
                <w:sz w:val="24"/>
                <w:szCs w:val="24"/>
              </w:rPr>
            </w:pPr>
            <w:r>
              <w:rPr>
                <w:rFonts w:hint="eastAsia" w:ascii="仿宋" w:hAnsi="仿宋" w:eastAsia="仿宋" w:cs="仿宋"/>
                <w:b/>
                <w:sz w:val="24"/>
                <w:szCs w:val="24"/>
              </w:rPr>
              <w:t>重要技术指标（必填）</w:t>
            </w:r>
          </w:p>
        </w:tc>
      </w:tr>
      <w:tr>
        <w:trPr>
          <w:trHeight w:val="567" w:hRule="atLeast"/>
          <w:jc w:val="center"/>
        </w:trPr>
        <w:tc>
          <w:tcPr>
            <w:tcW w:w="8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43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指标名称</w:t>
            </w:r>
          </w:p>
        </w:tc>
        <w:tc>
          <w:tcPr>
            <w:tcW w:w="5752"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参数明细</w:t>
            </w:r>
          </w:p>
        </w:tc>
        <w:tc>
          <w:tcPr>
            <w:tcW w:w="110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数量</w:t>
            </w:r>
          </w:p>
        </w:tc>
      </w:tr>
      <w:tr>
        <w:trPr>
          <w:trHeight w:val="567" w:hRule="atLeast"/>
          <w:jc w:val="center"/>
        </w:trPr>
        <w:tc>
          <w:tcPr>
            <w:tcW w:w="8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431"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FF0000"/>
                <w:sz w:val="24"/>
                <w:szCs w:val="24"/>
              </w:rPr>
            </w:pPr>
            <w:r>
              <w:rPr>
                <w:rFonts w:hint="eastAsia" w:ascii="仿宋" w:hAnsi="仿宋" w:eastAsia="仿宋" w:cs="仿宋"/>
                <w:b w:val="0"/>
                <w:bCs w:val="0"/>
                <w:kern w:val="0"/>
                <w:sz w:val="24"/>
                <w:szCs w:val="24"/>
              </w:rPr>
              <w:t>存储品牌</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FF0000"/>
                <w:sz w:val="24"/>
                <w:szCs w:val="24"/>
              </w:rPr>
            </w:pPr>
            <w:r>
              <w:rPr>
                <w:rFonts w:hint="eastAsia" w:ascii="仿宋" w:hAnsi="仿宋" w:eastAsia="仿宋" w:cs="仿宋"/>
                <w:b w:val="0"/>
                <w:bCs w:val="0"/>
                <w:kern w:val="0"/>
                <w:sz w:val="24"/>
                <w:szCs w:val="24"/>
              </w:rPr>
              <w:t>全球知名品牌，Gartner通用存储魔力象限中位于领导者象限。</w:t>
            </w:r>
          </w:p>
        </w:tc>
        <w:tc>
          <w:tcPr>
            <w:tcW w:w="1100" w:type="dxa"/>
            <w:vAlign w:val="center"/>
          </w:tcPr>
          <w:p>
            <w:pPr>
              <w:jc w:val="center"/>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1项</w:t>
            </w:r>
            <w:bookmarkStart w:id="6" w:name="_GoBack"/>
            <w:bookmarkEnd w:id="6"/>
          </w:p>
        </w:tc>
      </w:tr>
      <w:tr>
        <w:trPr>
          <w:trHeight w:val="567" w:hRule="atLeast"/>
          <w:jc w:val="center"/>
        </w:trPr>
        <w:tc>
          <w:tcPr>
            <w:tcW w:w="8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431"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4"/>
                <w:szCs w:val="24"/>
              </w:rPr>
            </w:pPr>
            <w:r>
              <w:rPr>
                <w:rFonts w:hint="eastAsia" w:ascii="仿宋" w:hAnsi="仿宋" w:eastAsia="仿宋" w:cs="仿宋"/>
                <w:b w:val="0"/>
                <w:bCs w:val="0"/>
                <w:kern w:val="0"/>
                <w:sz w:val="24"/>
                <w:szCs w:val="24"/>
              </w:rPr>
              <w:t>存储架构</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4"/>
                <w:szCs w:val="24"/>
              </w:rPr>
            </w:pPr>
            <w:r>
              <w:rPr>
                <w:rFonts w:hint="eastAsia" w:ascii="仿宋" w:hAnsi="仿宋" w:eastAsia="仿宋" w:cs="仿宋"/>
                <w:b w:val="0"/>
                <w:bCs w:val="0"/>
                <w:kern w:val="0"/>
                <w:sz w:val="24"/>
                <w:szCs w:val="24"/>
              </w:rPr>
              <w:t>必须同时满足以下指标：</w:t>
            </w:r>
            <w:r>
              <w:rPr>
                <w:rFonts w:hint="eastAsia" w:ascii="仿宋" w:hAnsi="仿宋" w:eastAsia="仿宋" w:cs="仿宋"/>
                <w:b w:val="0"/>
                <w:bCs w:val="0"/>
                <w:kern w:val="0"/>
                <w:sz w:val="24"/>
                <w:szCs w:val="24"/>
              </w:rPr>
              <w:br w:type="textWrapping"/>
            </w:r>
            <w:r>
              <w:rPr>
                <w:rFonts w:hint="eastAsia" w:ascii="仿宋" w:hAnsi="仿宋" w:eastAsia="仿宋" w:cs="仿宋"/>
                <w:b w:val="0"/>
                <w:bCs w:val="0"/>
                <w:kern w:val="0"/>
                <w:sz w:val="24"/>
                <w:szCs w:val="24"/>
              </w:rPr>
              <w:t>①存储控制器须为冗余模块化部件，可整体在线更换，可升级为更高型号。单控制器故障、更换、升级、自动切换过程中，存储系统性能不变。（要求官网截图证明、以及第三方测试报告证明）</w:t>
            </w:r>
            <w:r>
              <w:rPr>
                <w:rFonts w:hint="eastAsia" w:ascii="仿宋" w:hAnsi="仿宋" w:eastAsia="仿宋" w:cs="仿宋"/>
                <w:b w:val="0"/>
                <w:bCs w:val="0"/>
                <w:kern w:val="0"/>
                <w:sz w:val="24"/>
                <w:szCs w:val="24"/>
              </w:rPr>
              <w:br w:type="textWrapping"/>
            </w:r>
            <w:r>
              <w:rPr>
                <w:rFonts w:hint="eastAsia" w:ascii="仿宋" w:hAnsi="仿宋" w:eastAsia="仿宋" w:cs="仿宋"/>
                <w:b w:val="0"/>
                <w:bCs w:val="0"/>
                <w:kern w:val="0"/>
                <w:sz w:val="24"/>
                <w:szCs w:val="24"/>
              </w:rPr>
              <w:t>②采用NVDIMM非易失性缓存或电池备份单元，确保意外掉电后写缓存中的数据不丢失，恢复供电后可自动写入盘中。</w:t>
            </w:r>
            <w:r>
              <w:rPr>
                <w:rFonts w:hint="eastAsia" w:ascii="仿宋" w:hAnsi="仿宋" w:eastAsia="仿宋" w:cs="仿宋"/>
                <w:b w:val="0"/>
                <w:bCs w:val="0"/>
                <w:kern w:val="0"/>
                <w:sz w:val="24"/>
                <w:szCs w:val="24"/>
              </w:rPr>
              <w:br w:type="textWrapping"/>
            </w:r>
            <w:r>
              <w:rPr>
                <w:rFonts w:hint="eastAsia" w:ascii="仿宋" w:hAnsi="仿宋" w:eastAsia="仿宋" w:cs="仿宋"/>
                <w:b w:val="0"/>
                <w:bCs w:val="0"/>
                <w:kern w:val="0"/>
                <w:sz w:val="24"/>
                <w:szCs w:val="24"/>
              </w:rPr>
              <w:t>③采用NL SAS磁盘进行数据存储，同一RAID组内三块磁盘(不含热备盘)失效时，数据不丢失（要求官网截图证明、以及第三方测试报告证明）</w:t>
            </w:r>
          </w:p>
        </w:tc>
        <w:tc>
          <w:tcPr>
            <w:tcW w:w="1100"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1项</w:t>
            </w:r>
          </w:p>
        </w:tc>
      </w:tr>
      <w:tr>
        <w:trPr>
          <w:trHeight w:val="567" w:hRule="atLeast"/>
          <w:jc w:val="center"/>
        </w:trPr>
        <w:tc>
          <w:tcPr>
            <w:tcW w:w="8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431"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4"/>
                <w:szCs w:val="24"/>
              </w:rPr>
            </w:pPr>
            <w:r>
              <w:rPr>
                <w:rFonts w:hint="eastAsia" w:ascii="仿宋" w:hAnsi="仿宋" w:eastAsia="仿宋" w:cs="仿宋"/>
                <w:b w:val="0"/>
                <w:bCs w:val="0"/>
                <w:kern w:val="0"/>
                <w:sz w:val="24"/>
                <w:szCs w:val="24"/>
              </w:rPr>
              <w:t>性能</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4"/>
                <w:szCs w:val="24"/>
              </w:rPr>
            </w:pPr>
            <w:r>
              <w:rPr>
                <w:rFonts w:hint="eastAsia" w:ascii="仿宋" w:hAnsi="仿宋" w:eastAsia="仿宋" w:cs="仿宋"/>
                <w:b w:val="0"/>
                <w:bCs w:val="0"/>
                <w:kern w:val="0"/>
                <w:sz w:val="24"/>
                <w:szCs w:val="24"/>
              </w:rPr>
              <w:t>满足服务稳定性要求，单一存储控制器故障时，系统IOPS性能数值≥35000 IOPS，访问延迟≤0.5ms (实现条件：使用IOmeter，4KB数据块，100%随机写入操作，开启2倍以上在线实时数据压缩)；（要求官网截图证明0.5ms时延）</w:t>
            </w:r>
            <w:r>
              <w:rPr>
                <w:rFonts w:hint="eastAsia" w:ascii="仿宋" w:hAnsi="仿宋" w:eastAsia="仿宋" w:cs="仿宋"/>
                <w:b w:val="0"/>
                <w:bCs w:val="0"/>
                <w:kern w:val="0"/>
                <w:sz w:val="24"/>
                <w:szCs w:val="24"/>
              </w:rPr>
              <w:br w:type="textWrapping"/>
            </w:r>
            <w:r>
              <w:rPr>
                <w:rFonts w:hint="eastAsia" w:ascii="仿宋" w:hAnsi="仿宋" w:eastAsia="仿宋" w:cs="仿宋"/>
                <w:b w:val="0"/>
                <w:bCs w:val="0"/>
                <w:kern w:val="0"/>
                <w:sz w:val="24"/>
                <w:szCs w:val="24"/>
              </w:rPr>
              <w:t>单一控制器故障，系统自动进行切换及业务接管，业务无影响；（要求官网截图证明、以及第三方测试报告证明）</w:t>
            </w:r>
          </w:p>
        </w:tc>
        <w:tc>
          <w:tcPr>
            <w:tcW w:w="110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w:t>
            </w:r>
          </w:p>
        </w:tc>
      </w:tr>
      <w:tr>
        <w:trPr>
          <w:trHeight w:val="567" w:hRule="atLeast"/>
          <w:jc w:val="center"/>
        </w:trPr>
        <w:tc>
          <w:tcPr>
            <w:tcW w:w="8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431"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4"/>
                <w:szCs w:val="24"/>
              </w:rPr>
            </w:pPr>
            <w:r>
              <w:rPr>
                <w:rFonts w:hint="eastAsia" w:ascii="仿宋" w:hAnsi="仿宋" w:eastAsia="仿宋" w:cs="仿宋"/>
                <w:b w:val="0"/>
                <w:bCs w:val="0"/>
                <w:kern w:val="0"/>
                <w:sz w:val="24"/>
                <w:szCs w:val="24"/>
              </w:rPr>
              <w:t>存储效率</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4"/>
                <w:szCs w:val="24"/>
              </w:rPr>
            </w:pPr>
            <w:r>
              <w:rPr>
                <w:rFonts w:hint="eastAsia" w:ascii="仿宋" w:hAnsi="仿宋" w:eastAsia="仿宋" w:cs="仿宋"/>
                <w:b w:val="0"/>
                <w:bCs w:val="0"/>
                <w:kern w:val="0"/>
                <w:sz w:val="24"/>
                <w:szCs w:val="24"/>
              </w:rPr>
              <w:t>达到标称性能指标的配置实际占用机架空间≤4U，电力需求≤750W，IEC C13/14电源插口≤2个。</w:t>
            </w:r>
            <w:r>
              <w:rPr>
                <w:rFonts w:hint="eastAsia" w:ascii="仿宋" w:hAnsi="仿宋" w:eastAsia="仿宋" w:cs="仿宋"/>
                <w:b w:val="0"/>
                <w:bCs w:val="0"/>
                <w:kern w:val="0"/>
                <w:sz w:val="24"/>
                <w:szCs w:val="24"/>
              </w:rPr>
              <w:br w:type="textWrapping"/>
            </w:r>
            <w:r>
              <w:rPr>
                <w:rFonts w:hint="eastAsia" w:ascii="仿宋" w:hAnsi="仿宋" w:eastAsia="仿宋" w:cs="仿宋"/>
                <w:b w:val="0"/>
                <w:bCs w:val="0"/>
                <w:kern w:val="0"/>
                <w:sz w:val="24"/>
                <w:szCs w:val="24"/>
              </w:rPr>
              <w:t>支持单机物理存储空间≥210TB，非压缩非去重可用空间≥169TB，在线实时压缩去重后可用空间≥845TB；最大容量配置机架空间≤4U，电力需求≤750W</w:t>
            </w:r>
          </w:p>
        </w:tc>
        <w:tc>
          <w:tcPr>
            <w:tcW w:w="110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w:t>
            </w:r>
          </w:p>
        </w:tc>
      </w:tr>
      <w:tr>
        <w:trPr>
          <w:trHeight w:val="567" w:hRule="atLeast"/>
          <w:jc w:val="center"/>
        </w:trPr>
        <w:tc>
          <w:tcPr>
            <w:tcW w:w="825" w:type="dxa"/>
            <w:vAlign w:val="center"/>
          </w:tcPr>
          <w:p>
            <w:pPr>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5</w:t>
            </w:r>
          </w:p>
        </w:tc>
        <w:tc>
          <w:tcPr>
            <w:tcW w:w="1431"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控制器配置</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实配2个存储控制器，单一控制器故障，系统性能不下降。可在线扩展为8个，形成统一SAN集群。</w:t>
            </w:r>
            <w:r>
              <w:rPr>
                <w:rFonts w:hint="eastAsia" w:ascii="仿宋" w:hAnsi="仿宋" w:eastAsia="仿宋" w:cs="仿宋"/>
                <w:b w:val="0"/>
                <w:bCs w:val="0"/>
                <w:kern w:val="0"/>
                <w:sz w:val="24"/>
                <w:szCs w:val="24"/>
              </w:rPr>
              <w:br w:type="textWrapping"/>
            </w:r>
            <w:r>
              <w:rPr>
                <w:rFonts w:hint="eastAsia" w:ascii="仿宋" w:hAnsi="仿宋" w:eastAsia="仿宋" w:cs="仿宋"/>
                <w:b w:val="0"/>
                <w:bCs w:val="0"/>
                <w:kern w:val="0"/>
                <w:sz w:val="24"/>
                <w:szCs w:val="24"/>
              </w:rPr>
              <w:t>采用Skylake以上处理器，系统配置CPU总数≥2、CPU核心总数≥12。</w:t>
            </w:r>
            <w:r>
              <w:rPr>
                <w:rFonts w:hint="eastAsia" w:ascii="仿宋" w:hAnsi="仿宋" w:eastAsia="仿宋" w:cs="仿宋"/>
                <w:b w:val="0"/>
                <w:bCs w:val="0"/>
                <w:kern w:val="0"/>
                <w:sz w:val="24"/>
                <w:szCs w:val="24"/>
              </w:rPr>
              <w:br w:type="textWrapping"/>
            </w:r>
            <w:r>
              <w:rPr>
                <w:rFonts w:hint="eastAsia" w:ascii="仿宋" w:hAnsi="仿宋" w:eastAsia="仿宋" w:cs="仿宋"/>
                <w:b w:val="0"/>
                <w:bCs w:val="0"/>
                <w:kern w:val="0"/>
                <w:sz w:val="24"/>
                <w:szCs w:val="24"/>
              </w:rPr>
              <w:t>采用DDR4和NVDIMM技术，DDR4≥64GB、NVDIMM≥16GB。</w:t>
            </w:r>
            <w:r>
              <w:rPr>
                <w:rFonts w:hint="eastAsia" w:ascii="仿宋" w:hAnsi="仿宋" w:eastAsia="仿宋" w:cs="仿宋"/>
                <w:b w:val="0"/>
                <w:bCs w:val="0"/>
                <w:kern w:val="0"/>
                <w:sz w:val="24"/>
                <w:szCs w:val="24"/>
              </w:rPr>
              <w:br w:type="textWrapping"/>
            </w:r>
            <w:r>
              <w:rPr>
                <w:rFonts w:hint="eastAsia" w:ascii="仿宋" w:hAnsi="仿宋" w:eastAsia="仿宋" w:cs="仿宋"/>
                <w:b w:val="0"/>
                <w:bCs w:val="0"/>
                <w:kern w:val="0"/>
                <w:sz w:val="24"/>
                <w:szCs w:val="24"/>
              </w:rPr>
              <w:t>配置16Gb FC端口≥8个</w:t>
            </w:r>
            <w:r>
              <w:rPr>
                <w:rFonts w:hint="eastAsia" w:ascii="仿宋" w:hAnsi="仿宋" w:eastAsia="仿宋" w:cs="仿宋"/>
                <w:b w:val="0"/>
                <w:bCs w:val="0"/>
                <w:kern w:val="0"/>
                <w:sz w:val="24"/>
                <w:szCs w:val="24"/>
              </w:rPr>
              <w:br w:type="textWrapping"/>
            </w:r>
            <w:r>
              <w:rPr>
                <w:rFonts w:hint="eastAsia" w:ascii="仿宋" w:hAnsi="仿宋" w:eastAsia="仿宋" w:cs="仿宋"/>
                <w:b w:val="0"/>
                <w:bCs w:val="0"/>
                <w:kern w:val="0"/>
                <w:sz w:val="24"/>
                <w:szCs w:val="24"/>
              </w:rPr>
              <w:t>可在线扩展以太网与FC端口，单机最大可配置10GbE（光口）端口≥16，10GbT（RJ45电口）端口≥16，16Gb FC端口≥16，并可进行在线横向集群扩展</w:t>
            </w:r>
          </w:p>
        </w:tc>
        <w:tc>
          <w:tcPr>
            <w:tcW w:w="1100" w:type="dxa"/>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1项</w:t>
            </w:r>
          </w:p>
        </w:tc>
      </w:tr>
      <w:tr>
        <w:trPr>
          <w:trHeight w:val="567" w:hRule="atLeast"/>
          <w:jc w:val="center"/>
        </w:trPr>
        <w:tc>
          <w:tcPr>
            <w:tcW w:w="825" w:type="dxa"/>
            <w:vAlign w:val="center"/>
          </w:tcPr>
          <w:p>
            <w:pPr>
              <w:widowControl/>
              <w:jc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6</w:t>
            </w:r>
          </w:p>
        </w:tc>
        <w:tc>
          <w:tcPr>
            <w:tcW w:w="1431"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闪存配置</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①同时支持4KB(虚拟化)、8KB(数据库)、16KB(Exchange Log)、32KB(Exchange Data Store)四种数据缓存粒度，适用多种应用场景。</w:t>
            </w:r>
            <w:r>
              <w:rPr>
                <w:rFonts w:hint="eastAsia" w:ascii="仿宋" w:hAnsi="仿宋" w:eastAsia="仿宋" w:cs="仿宋"/>
                <w:b w:val="0"/>
                <w:bCs w:val="0"/>
                <w:kern w:val="0"/>
                <w:sz w:val="24"/>
                <w:szCs w:val="24"/>
              </w:rPr>
              <w:br w:type="textWrapping"/>
            </w:r>
            <w:r>
              <w:rPr>
                <w:rFonts w:hint="eastAsia" w:ascii="仿宋" w:hAnsi="仿宋" w:eastAsia="仿宋" w:cs="仿宋"/>
                <w:b w:val="0"/>
                <w:bCs w:val="0"/>
                <w:kern w:val="0"/>
                <w:sz w:val="24"/>
                <w:szCs w:val="24"/>
              </w:rPr>
              <w:t>②实配SSD物理容量≥5760GB，非压缩非去重可用空间≥5760GB；在线去重压缩后有效空间≥28800GB</w:t>
            </w:r>
            <w:r>
              <w:rPr>
                <w:rFonts w:hint="eastAsia" w:ascii="仿宋" w:hAnsi="仿宋" w:eastAsia="仿宋" w:cs="仿宋"/>
                <w:b w:val="0"/>
                <w:bCs w:val="0"/>
                <w:kern w:val="0"/>
                <w:sz w:val="24"/>
                <w:szCs w:val="24"/>
              </w:rPr>
              <w:br w:type="textWrapping"/>
            </w:r>
            <w:r>
              <w:rPr>
                <w:rFonts w:hint="eastAsia" w:ascii="仿宋" w:hAnsi="仿宋" w:eastAsia="仿宋" w:cs="仿宋"/>
                <w:b w:val="0"/>
                <w:bCs w:val="0"/>
                <w:kern w:val="0"/>
                <w:sz w:val="24"/>
                <w:szCs w:val="24"/>
              </w:rPr>
              <w:t>③SSD可以在线热插拔并更换为更高容量，系统不发生控制器切换</w:t>
            </w:r>
            <w:r>
              <w:rPr>
                <w:rFonts w:hint="eastAsia" w:ascii="仿宋" w:hAnsi="仿宋" w:eastAsia="仿宋" w:cs="仿宋"/>
                <w:b w:val="0"/>
                <w:bCs w:val="0"/>
                <w:kern w:val="0"/>
                <w:sz w:val="24"/>
                <w:szCs w:val="24"/>
              </w:rPr>
              <w:br w:type="textWrapping"/>
            </w:r>
            <w:r>
              <w:rPr>
                <w:rFonts w:hint="eastAsia" w:ascii="仿宋" w:hAnsi="仿宋" w:eastAsia="仿宋" w:cs="仿宋"/>
                <w:b w:val="0"/>
                <w:bCs w:val="0"/>
                <w:kern w:val="0"/>
                <w:sz w:val="24"/>
                <w:szCs w:val="24"/>
              </w:rPr>
              <w:t>④SSD全部损坏，用户数据不丢失。</w:t>
            </w:r>
          </w:p>
        </w:tc>
        <w:tc>
          <w:tcPr>
            <w:tcW w:w="1100" w:type="dxa"/>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1项</w:t>
            </w:r>
          </w:p>
        </w:tc>
      </w:tr>
      <w:tr>
        <w:trPr>
          <w:trHeight w:val="567" w:hRule="atLeast"/>
          <w:jc w:val="center"/>
        </w:trPr>
        <w:tc>
          <w:tcPr>
            <w:tcW w:w="825" w:type="dxa"/>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w:t>
            </w:r>
          </w:p>
        </w:tc>
        <w:tc>
          <w:tcPr>
            <w:tcW w:w="1431"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容量配置</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实际配置物理容量≥84TB，非压缩非去重可用空间≥6</w:t>
            </w:r>
            <w:r>
              <w:rPr>
                <w:rFonts w:hint="eastAsia" w:ascii="仿宋" w:hAnsi="仿宋" w:eastAsia="仿宋" w:cs="仿宋"/>
                <w:b w:val="0"/>
                <w:bCs w:val="0"/>
                <w:kern w:val="0"/>
                <w:sz w:val="24"/>
                <w:szCs w:val="24"/>
                <w:lang w:val="en-US" w:eastAsia="zh-CN"/>
              </w:rPr>
              <w:t>7</w:t>
            </w:r>
            <w:r>
              <w:rPr>
                <w:rFonts w:hint="eastAsia" w:ascii="仿宋" w:hAnsi="仿宋" w:eastAsia="仿宋" w:cs="仿宋"/>
                <w:b w:val="0"/>
                <w:bCs w:val="0"/>
                <w:kern w:val="0"/>
                <w:sz w:val="24"/>
                <w:szCs w:val="24"/>
              </w:rPr>
              <w:t>TB；在线压缩、去重后可用空间≥201TB；</w:t>
            </w:r>
          </w:p>
        </w:tc>
        <w:tc>
          <w:tcPr>
            <w:tcW w:w="1100" w:type="dxa"/>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1项</w:t>
            </w:r>
          </w:p>
        </w:tc>
      </w:tr>
      <w:tr>
        <w:trPr>
          <w:trHeight w:val="567" w:hRule="atLeast"/>
          <w:jc w:val="center"/>
        </w:trPr>
        <w:tc>
          <w:tcPr>
            <w:tcW w:w="825" w:type="dxa"/>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w:t>
            </w:r>
          </w:p>
        </w:tc>
        <w:tc>
          <w:tcPr>
            <w:tcW w:w="1431"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硬件扩展</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必须同时满足以下指标：</w:t>
            </w:r>
            <w:r>
              <w:rPr>
                <w:rFonts w:hint="eastAsia" w:ascii="仿宋" w:hAnsi="仿宋" w:eastAsia="仿宋" w:cs="仿宋"/>
                <w:b w:val="0"/>
                <w:bCs w:val="0"/>
                <w:kern w:val="0"/>
                <w:sz w:val="24"/>
                <w:szCs w:val="24"/>
              </w:rPr>
              <w:br w:type="textWrapping"/>
            </w:r>
            <w:r>
              <w:rPr>
                <w:rFonts w:hint="eastAsia" w:ascii="仿宋" w:hAnsi="仿宋" w:eastAsia="仿宋" w:cs="仿宋"/>
                <w:b w:val="0"/>
                <w:bCs w:val="0"/>
                <w:kern w:val="0"/>
                <w:sz w:val="24"/>
                <w:szCs w:val="24"/>
              </w:rPr>
              <w:t>①保持性能不变，可单独扩展容量，物理存储空间≥210TB、非压缩非去重可用空间≥169TB、在线实时压缩或去重后可用空间≥845TB，机架空间≤4U，电力需求≤750W</w:t>
            </w:r>
            <w:r>
              <w:rPr>
                <w:rFonts w:hint="eastAsia" w:ascii="仿宋" w:hAnsi="仿宋" w:eastAsia="仿宋" w:cs="仿宋"/>
                <w:b w:val="0"/>
                <w:bCs w:val="0"/>
                <w:kern w:val="0"/>
                <w:sz w:val="24"/>
                <w:szCs w:val="24"/>
              </w:rPr>
              <w:br w:type="textWrapping"/>
            </w:r>
            <w:r>
              <w:rPr>
                <w:rFonts w:hint="eastAsia" w:ascii="仿宋" w:hAnsi="仿宋" w:eastAsia="仿宋" w:cs="仿宋"/>
                <w:b w:val="0"/>
                <w:bCs w:val="0"/>
                <w:kern w:val="0"/>
                <w:sz w:val="24"/>
                <w:szCs w:val="24"/>
              </w:rPr>
              <w:t>②在线不停机，可单独扩展存储系统SSD缓存区，SSD物理容量可扩展至≥161TB，在线实时压缩或去重后可用空间≥805TB。</w:t>
            </w:r>
            <w:r>
              <w:rPr>
                <w:rFonts w:hint="eastAsia" w:ascii="仿宋" w:hAnsi="仿宋" w:eastAsia="仿宋" w:cs="仿宋"/>
                <w:b w:val="0"/>
                <w:bCs w:val="0"/>
                <w:kern w:val="0"/>
                <w:sz w:val="24"/>
                <w:szCs w:val="24"/>
              </w:rPr>
              <w:br w:type="textWrapping"/>
            </w:r>
            <w:r>
              <w:rPr>
                <w:rFonts w:hint="eastAsia" w:ascii="仿宋" w:hAnsi="仿宋" w:eastAsia="仿宋" w:cs="仿宋"/>
                <w:b w:val="0"/>
                <w:bCs w:val="0"/>
                <w:kern w:val="0"/>
                <w:sz w:val="24"/>
                <w:szCs w:val="24"/>
              </w:rPr>
              <w:t>③在线不停机，可单独扩展存储系统性能，系统IOPS性能数值≥200000 IOPS，访问延迟≤0.5ms，机架空间≤4U，电力需求≤900W。</w:t>
            </w:r>
          </w:p>
        </w:tc>
        <w:tc>
          <w:tcPr>
            <w:tcW w:w="1100" w:type="dxa"/>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1项</w:t>
            </w:r>
          </w:p>
        </w:tc>
      </w:tr>
      <w:tr>
        <w:trPr>
          <w:trHeight w:val="567" w:hRule="atLeast"/>
          <w:jc w:val="center"/>
        </w:trPr>
        <w:tc>
          <w:tcPr>
            <w:tcW w:w="825" w:type="dxa"/>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w:t>
            </w:r>
          </w:p>
        </w:tc>
        <w:tc>
          <w:tcPr>
            <w:tcW w:w="1431"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软件功能</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必须同时满足以下指标：</w:t>
            </w:r>
            <w:r>
              <w:rPr>
                <w:rFonts w:hint="eastAsia" w:ascii="仿宋" w:hAnsi="仿宋" w:eastAsia="仿宋" w:cs="仿宋"/>
                <w:b w:val="0"/>
                <w:bCs w:val="0"/>
                <w:kern w:val="0"/>
                <w:sz w:val="24"/>
                <w:szCs w:val="24"/>
              </w:rPr>
              <w:br w:type="textWrapping"/>
            </w:r>
            <w:r>
              <w:rPr>
                <w:rFonts w:hint="eastAsia" w:ascii="仿宋" w:hAnsi="仿宋" w:eastAsia="仿宋" w:cs="仿宋"/>
                <w:b w:val="0"/>
                <w:bCs w:val="0"/>
                <w:kern w:val="0"/>
                <w:sz w:val="24"/>
                <w:szCs w:val="24"/>
              </w:rPr>
              <w:t>①配置数据快照、数据快速恢复许可证，无容量限制。数据快照无性能影响。</w:t>
            </w:r>
            <w:r>
              <w:rPr>
                <w:rFonts w:hint="eastAsia" w:ascii="仿宋" w:hAnsi="仿宋" w:eastAsia="仿宋" w:cs="仿宋"/>
                <w:b w:val="0"/>
                <w:bCs w:val="0"/>
                <w:kern w:val="0"/>
                <w:sz w:val="24"/>
                <w:szCs w:val="24"/>
              </w:rPr>
              <w:br w:type="textWrapping"/>
            </w:r>
            <w:r>
              <w:rPr>
                <w:rFonts w:hint="eastAsia" w:ascii="仿宋" w:hAnsi="仿宋" w:eastAsia="仿宋" w:cs="仿宋"/>
                <w:b w:val="0"/>
                <w:bCs w:val="0"/>
                <w:kern w:val="0"/>
                <w:sz w:val="24"/>
                <w:szCs w:val="24"/>
              </w:rPr>
              <w:t>②配置数据快速零拷贝克隆许可证，无容量限制。数据克隆无性能影响。</w:t>
            </w:r>
            <w:r>
              <w:rPr>
                <w:rFonts w:hint="eastAsia" w:ascii="仿宋" w:hAnsi="仿宋" w:eastAsia="仿宋" w:cs="仿宋"/>
                <w:b w:val="0"/>
                <w:bCs w:val="0"/>
                <w:kern w:val="0"/>
                <w:sz w:val="24"/>
                <w:szCs w:val="24"/>
              </w:rPr>
              <w:br w:type="textWrapping"/>
            </w:r>
            <w:r>
              <w:rPr>
                <w:rFonts w:hint="eastAsia" w:ascii="仿宋" w:hAnsi="仿宋" w:eastAsia="仿宋" w:cs="仿宋"/>
                <w:b w:val="0"/>
                <w:bCs w:val="0"/>
                <w:kern w:val="0"/>
                <w:sz w:val="24"/>
                <w:szCs w:val="24"/>
              </w:rPr>
              <w:t>③配置二级SSD缓存功能许可证，可实现自动缓存算法与指定卷100%缓存在二级SSD缓存中的功能，无容量限制。</w:t>
            </w:r>
            <w:r>
              <w:rPr>
                <w:rFonts w:hint="eastAsia" w:ascii="仿宋" w:hAnsi="仿宋" w:eastAsia="仿宋" w:cs="仿宋"/>
                <w:b w:val="0"/>
                <w:bCs w:val="0"/>
                <w:kern w:val="0"/>
                <w:sz w:val="24"/>
                <w:szCs w:val="24"/>
              </w:rPr>
              <w:br w:type="textWrapping"/>
            </w:r>
            <w:r>
              <w:rPr>
                <w:rFonts w:hint="eastAsia" w:ascii="仿宋" w:hAnsi="仿宋" w:eastAsia="仿宋" w:cs="仿宋"/>
                <w:b w:val="0"/>
                <w:bCs w:val="0"/>
                <w:kern w:val="0"/>
                <w:sz w:val="24"/>
                <w:szCs w:val="24"/>
              </w:rPr>
              <w:t>④配置数据容灾复制功能许可证和双活许可，无容量限制。要求支持存储系统之间、存储系统到存储集群、存储集群之间的多对一数据复制、双向数据复制。要求对Oracle, Exchange, MS Sql Server等应用必须配置一致性数据卷组(Consistency Group)保护功能。</w:t>
            </w:r>
          </w:p>
        </w:tc>
        <w:tc>
          <w:tcPr>
            <w:tcW w:w="1100" w:type="dxa"/>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1项</w:t>
            </w:r>
          </w:p>
        </w:tc>
      </w:tr>
      <w:tr>
        <w:trPr>
          <w:trHeight w:val="567" w:hRule="atLeast"/>
          <w:jc w:val="center"/>
        </w:trPr>
        <w:tc>
          <w:tcPr>
            <w:tcW w:w="825" w:type="dxa"/>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p>
        </w:tc>
        <w:tc>
          <w:tcPr>
            <w:tcW w:w="1431"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系统兼容</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必须同时满足以下指标：</w:t>
            </w:r>
            <w:r>
              <w:rPr>
                <w:rFonts w:hint="eastAsia" w:ascii="仿宋" w:hAnsi="仿宋" w:eastAsia="仿宋" w:cs="仿宋"/>
                <w:b w:val="0"/>
                <w:bCs w:val="0"/>
                <w:kern w:val="0"/>
                <w:sz w:val="24"/>
                <w:szCs w:val="24"/>
              </w:rPr>
              <w:br w:type="textWrapping"/>
            </w:r>
            <w:r>
              <w:rPr>
                <w:rFonts w:hint="eastAsia" w:ascii="仿宋" w:hAnsi="仿宋" w:eastAsia="仿宋" w:cs="仿宋"/>
                <w:b w:val="0"/>
                <w:bCs w:val="0"/>
                <w:kern w:val="0"/>
                <w:sz w:val="24"/>
                <w:szCs w:val="24"/>
              </w:rPr>
              <w:t>①支持MS Windows、VMware ESX</w:t>
            </w:r>
            <w:r>
              <w:rPr>
                <w:rFonts w:hint="eastAsia" w:ascii="仿宋" w:hAnsi="仿宋" w:eastAsia="仿宋" w:cs="仿宋"/>
                <w:b w:val="0"/>
                <w:bCs w:val="0"/>
                <w:kern w:val="0"/>
                <w:sz w:val="24"/>
                <w:szCs w:val="24"/>
                <w:lang w:val="en-US"/>
              </w:rPr>
              <w:t>I</w:t>
            </w:r>
            <w:r>
              <w:rPr>
                <w:rFonts w:hint="eastAsia" w:ascii="仿宋" w:hAnsi="仿宋" w:eastAsia="仿宋" w:cs="仿宋"/>
                <w:b w:val="0"/>
                <w:bCs w:val="0"/>
                <w:kern w:val="0"/>
                <w:sz w:val="24"/>
                <w:szCs w:val="24"/>
              </w:rPr>
              <w:t>、Linux、AIX、PowerVM、HP UNIX、Solaris、Oracle Linux、Oracle VM等多种操作系统。</w:t>
            </w:r>
            <w:r>
              <w:rPr>
                <w:rFonts w:hint="eastAsia" w:ascii="仿宋" w:hAnsi="仿宋" w:eastAsia="仿宋" w:cs="仿宋"/>
                <w:b w:val="0"/>
                <w:bCs w:val="0"/>
                <w:kern w:val="0"/>
                <w:sz w:val="24"/>
                <w:szCs w:val="24"/>
              </w:rPr>
              <w:br w:type="textWrapping"/>
            </w:r>
            <w:r>
              <w:rPr>
                <w:rFonts w:hint="eastAsia" w:ascii="仿宋" w:hAnsi="仿宋" w:eastAsia="仿宋" w:cs="仿宋"/>
                <w:b w:val="0"/>
                <w:bCs w:val="0"/>
                <w:kern w:val="0"/>
                <w:sz w:val="24"/>
                <w:szCs w:val="24"/>
              </w:rPr>
              <w:t>②支持REST API、OpenStack、Hadoop。</w:t>
            </w:r>
            <w:r>
              <w:rPr>
                <w:rFonts w:hint="eastAsia" w:ascii="仿宋" w:hAnsi="仿宋" w:eastAsia="仿宋" w:cs="仿宋"/>
                <w:b w:val="0"/>
                <w:bCs w:val="0"/>
                <w:kern w:val="0"/>
                <w:sz w:val="24"/>
                <w:szCs w:val="24"/>
              </w:rPr>
              <w:br w:type="textWrapping"/>
            </w:r>
            <w:r>
              <w:rPr>
                <w:rFonts w:hint="eastAsia" w:ascii="仿宋" w:hAnsi="仿宋" w:eastAsia="仿宋" w:cs="仿宋"/>
                <w:b w:val="0"/>
                <w:bCs w:val="0"/>
                <w:kern w:val="0"/>
                <w:sz w:val="24"/>
                <w:szCs w:val="24"/>
              </w:rPr>
              <w:t>③支持第三方双活数据中心虚拟化网关，不封闭于仅支持同品牌设备。</w:t>
            </w:r>
            <w:r>
              <w:rPr>
                <w:rFonts w:hint="eastAsia" w:ascii="仿宋" w:hAnsi="仿宋" w:eastAsia="仿宋" w:cs="仿宋"/>
                <w:b w:val="0"/>
                <w:bCs w:val="0"/>
                <w:kern w:val="0"/>
                <w:sz w:val="24"/>
                <w:szCs w:val="24"/>
              </w:rPr>
              <w:br w:type="textWrapping"/>
            </w:r>
            <w:r>
              <w:rPr>
                <w:rFonts w:hint="eastAsia" w:ascii="仿宋" w:hAnsi="仿宋" w:eastAsia="仿宋" w:cs="仿宋"/>
                <w:b w:val="0"/>
                <w:bCs w:val="0"/>
                <w:kern w:val="0"/>
                <w:sz w:val="24"/>
                <w:szCs w:val="24"/>
              </w:rPr>
              <w:t>④支持SNMP，并备有API、MIB支持服务。</w:t>
            </w:r>
            <w:r>
              <w:rPr>
                <w:rFonts w:hint="eastAsia" w:ascii="仿宋" w:hAnsi="仿宋" w:eastAsia="仿宋" w:cs="仿宋"/>
                <w:b w:val="0"/>
                <w:bCs w:val="0"/>
                <w:kern w:val="0"/>
                <w:sz w:val="24"/>
                <w:szCs w:val="24"/>
              </w:rPr>
              <w:br w:type="textWrapping"/>
            </w:r>
            <w:r>
              <w:rPr>
                <w:rFonts w:hint="eastAsia" w:ascii="仿宋" w:hAnsi="仿宋" w:eastAsia="仿宋" w:cs="仿宋"/>
                <w:b w:val="0"/>
                <w:bCs w:val="0"/>
                <w:kern w:val="0"/>
                <w:sz w:val="24"/>
                <w:szCs w:val="24"/>
              </w:rPr>
              <w:t>⑤支持VMware VAAI、SRM、vCenter、vVols、Oracle、SAP、SAP HANA TDI、CITRIX、MS ODX、MS HyperV、MC SCVMM、CommVault等集成</w:t>
            </w:r>
          </w:p>
        </w:tc>
        <w:tc>
          <w:tcPr>
            <w:tcW w:w="1100" w:type="dxa"/>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1项</w:t>
            </w:r>
          </w:p>
        </w:tc>
      </w:tr>
      <w:tr>
        <w:trPr>
          <w:trHeight w:val="567" w:hRule="atLeast"/>
          <w:jc w:val="center"/>
        </w:trPr>
        <w:tc>
          <w:tcPr>
            <w:tcW w:w="825" w:type="dxa"/>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w:t>
            </w:r>
          </w:p>
        </w:tc>
        <w:tc>
          <w:tcPr>
            <w:tcW w:w="1431"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智能分析平台</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 xml:space="preserve">配置智能分析平台，基于大数据进行容量分析、性能趋势分析和健康状况检查等，提供可用性预测、自动预警、健康预警和自动生成建议报告；实现端到端应用分析，精确定位虚拟机到存储之间瓶颈所在； </w:t>
            </w:r>
          </w:p>
        </w:tc>
        <w:tc>
          <w:tcPr>
            <w:tcW w:w="1100" w:type="dxa"/>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1项</w:t>
            </w:r>
          </w:p>
        </w:tc>
      </w:tr>
      <w:tr>
        <w:trPr>
          <w:trHeight w:val="567" w:hRule="atLeast"/>
          <w:jc w:val="center"/>
        </w:trPr>
        <w:tc>
          <w:tcPr>
            <w:tcW w:w="825" w:type="dxa"/>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w:t>
            </w:r>
          </w:p>
        </w:tc>
        <w:tc>
          <w:tcPr>
            <w:tcW w:w="1431"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服务支持</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配置三年7*24软件、硬件服务、且本次存储服务器需供应商协助服务提供包括而不限于：原存储数据向新设备的迁移，接入原虚拟化平台的运维监控系统，需支持</w:t>
            </w:r>
            <w:r>
              <w:rPr>
                <w:rFonts w:hint="eastAsia" w:ascii="仿宋" w:hAnsi="仿宋" w:eastAsia="仿宋" w:cs="仿宋"/>
                <w:b w:val="0"/>
                <w:bCs w:val="0"/>
                <w:kern w:val="0"/>
                <w:sz w:val="24"/>
                <w:szCs w:val="24"/>
                <w:lang w:val="en-US" w:eastAsia="zh-CN"/>
              </w:rPr>
              <w:t>现有</w:t>
            </w:r>
            <w:r>
              <w:rPr>
                <w:rFonts w:hint="eastAsia" w:ascii="仿宋" w:hAnsi="仿宋" w:eastAsia="仿宋" w:cs="仿宋"/>
                <w:b w:val="0"/>
                <w:bCs w:val="0"/>
                <w:kern w:val="0"/>
                <w:sz w:val="24"/>
                <w:szCs w:val="24"/>
              </w:rPr>
              <w:t>存储阵列系统的</w:t>
            </w:r>
            <w:r>
              <w:rPr>
                <w:rFonts w:hint="eastAsia" w:ascii="仿宋" w:hAnsi="仿宋" w:eastAsia="仿宋" w:cs="仿宋"/>
                <w:b w:val="0"/>
                <w:bCs w:val="0"/>
                <w:kern w:val="0"/>
                <w:sz w:val="24"/>
                <w:szCs w:val="24"/>
                <w:lang w:val="en-US" w:eastAsia="zh-CN"/>
              </w:rPr>
              <w:t>运维</w:t>
            </w:r>
            <w:r>
              <w:rPr>
                <w:rFonts w:hint="eastAsia" w:ascii="仿宋" w:hAnsi="仿宋" w:eastAsia="仿宋" w:cs="仿宋"/>
                <w:b w:val="0"/>
                <w:bCs w:val="0"/>
                <w:kern w:val="0"/>
                <w:sz w:val="24"/>
                <w:szCs w:val="24"/>
              </w:rPr>
              <w:t>监控管理(兼容华为、华三、深信服、联想、SmartX等）；需对现有虚拟化主机的数据整理工作；完成当前虚拟化中的虚拟化存储部分，即新增存储接入现有虚拟化系统的工作等，客户方完成本次虚拟化系统存储升级所需的相关服务。提供设备厂商开具的原厂授权、售后服务承诺函加盖厂商公章及接入运维系统厂商确认函加盖厂商公章，提供产品功能截图并保留测试权利。</w:t>
            </w:r>
          </w:p>
        </w:tc>
        <w:tc>
          <w:tcPr>
            <w:tcW w:w="1100" w:type="dxa"/>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1项</w:t>
            </w:r>
          </w:p>
        </w:tc>
      </w:tr>
      <w:tr>
        <w:trPr>
          <w:trHeight w:val="567" w:hRule="atLeast"/>
          <w:jc w:val="center"/>
        </w:trPr>
        <w:tc>
          <w:tcPr>
            <w:tcW w:w="825" w:type="dxa"/>
            <w:vAlign w:val="center"/>
          </w:tcPr>
          <w:p>
            <w:pPr>
              <w:jc w:val="center"/>
              <w:rPr>
                <w:rFonts w:hint="eastAsia" w:ascii="仿宋" w:hAnsi="仿宋" w:eastAsia="仿宋" w:cs="仿宋"/>
                <w:b w:val="0"/>
                <w:bCs w:val="0"/>
                <w:sz w:val="24"/>
                <w:szCs w:val="24"/>
                <w:lang w:val="en-US" w:eastAsia="zh-CN"/>
              </w:rPr>
            </w:pPr>
          </w:p>
        </w:tc>
        <w:tc>
          <w:tcPr>
            <w:tcW w:w="1431"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仿宋"/>
                <w:b w:val="0"/>
                <w:bCs w:val="0"/>
                <w:kern w:val="0"/>
                <w:sz w:val="24"/>
                <w:szCs w:val="24"/>
              </w:rPr>
            </w:pPr>
          </w:p>
        </w:tc>
        <w:tc>
          <w:tcPr>
            <w:tcW w:w="5752"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仿宋"/>
                <w:b w:val="0"/>
                <w:bCs w:val="0"/>
                <w:kern w:val="0"/>
                <w:sz w:val="24"/>
                <w:szCs w:val="24"/>
              </w:rPr>
            </w:pPr>
          </w:p>
        </w:tc>
        <w:tc>
          <w:tcPr>
            <w:tcW w:w="1100" w:type="dxa"/>
          </w:tcPr>
          <w:p>
            <w:pPr>
              <w:rPr>
                <w:rFonts w:hint="eastAsia" w:ascii="仿宋" w:hAnsi="仿宋" w:eastAsia="仿宋" w:cs="仿宋"/>
                <w:b w:val="0"/>
                <w:bCs w:val="0"/>
                <w:sz w:val="24"/>
                <w:szCs w:val="24"/>
                <w:lang w:val="en-US" w:eastAsia="zh-CN"/>
              </w:rPr>
            </w:pPr>
          </w:p>
        </w:tc>
      </w:tr>
      <w:tr>
        <w:trPr>
          <w:trHeight w:val="567" w:hRule="atLeast"/>
          <w:jc w:val="center"/>
        </w:trPr>
        <w:tc>
          <w:tcPr>
            <w:tcW w:w="9108" w:type="dxa"/>
            <w:gridSpan w:val="6"/>
            <w:vAlign w:val="center"/>
          </w:tcPr>
          <w:p>
            <w:pPr>
              <w:jc w:val="both"/>
              <w:rPr>
                <w:rFonts w:hint="eastAsia" w:ascii="仿宋" w:hAnsi="仿宋" w:eastAsia="仿宋" w:cs="仿宋"/>
                <w:b/>
                <w:sz w:val="24"/>
                <w:szCs w:val="24"/>
              </w:rPr>
            </w:pPr>
            <w:r>
              <w:rPr>
                <w:rFonts w:hint="eastAsia" w:ascii="仿宋" w:hAnsi="仿宋" w:eastAsia="仿宋" w:cs="仿宋"/>
                <w:b/>
                <w:sz w:val="24"/>
                <w:szCs w:val="24"/>
              </w:rPr>
              <w:t>一般技术指标（选填，不作为评标依据）</w:t>
            </w:r>
          </w:p>
        </w:tc>
      </w:tr>
      <w:tr>
        <w:trPr>
          <w:trHeight w:val="567" w:hRule="atLeast"/>
          <w:jc w:val="center"/>
        </w:trPr>
        <w:tc>
          <w:tcPr>
            <w:tcW w:w="8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43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指标名称</w:t>
            </w:r>
          </w:p>
        </w:tc>
        <w:tc>
          <w:tcPr>
            <w:tcW w:w="5752"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参数明细</w:t>
            </w:r>
          </w:p>
        </w:tc>
        <w:tc>
          <w:tcPr>
            <w:tcW w:w="110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数量</w:t>
            </w:r>
          </w:p>
        </w:tc>
      </w:tr>
      <w:tr>
        <w:trPr>
          <w:trHeight w:val="567" w:hRule="atLeast"/>
          <w:jc w:val="center"/>
        </w:trPr>
        <w:tc>
          <w:tcPr>
            <w:tcW w:w="8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431" w:type="dxa"/>
            <w:vAlign w:val="top"/>
          </w:tcPr>
          <w:p>
            <w:pPr>
              <w:rPr>
                <w:rFonts w:hint="eastAsia" w:ascii="仿宋" w:hAnsi="仿宋" w:eastAsia="仿宋" w:cs="仿宋"/>
                <w:sz w:val="24"/>
                <w:szCs w:val="24"/>
              </w:rPr>
            </w:pPr>
          </w:p>
        </w:tc>
        <w:tc>
          <w:tcPr>
            <w:tcW w:w="5752" w:type="dxa"/>
            <w:gridSpan w:val="3"/>
            <w:vAlign w:val="top"/>
          </w:tcPr>
          <w:p>
            <w:pPr>
              <w:rPr>
                <w:rFonts w:hint="eastAsia" w:ascii="仿宋" w:hAnsi="仿宋" w:eastAsia="仿宋" w:cs="仿宋"/>
                <w:sz w:val="24"/>
                <w:szCs w:val="24"/>
              </w:rPr>
            </w:pPr>
          </w:p>
        </w:tc>
        <w:tc>
          <w:tcPr>
            <w:tcW w:w="1100" w:type="dxa"/>
            <w:vAlign w:val="top"/>
          </w:tcPr>
          <w:p>
            <w:pPr>
              <w:rPr>
                <w:rFonts w:hint="eastAsia" w:ascii="仿宋" w:hAnsi="仿宋" w:eastAsia="仿宋" w:cs="仿宋"/>
                <w:sz w:val="24"/>
                <w:szCs w:val="24"/>
              </w:rPr>
            </w:pPr>
          </w:p>
        </w:tc>
      </w:tr>
      <w:tr>
        <w:trPr>
          <w:trHeight w:val="567" w:hRule="atLeast"/>
          <w:jc w:val="center"/>
        </w:trPr>
        <w:tc>
          <w:tcPr>
            <w:tcW w:w="8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431" w:type="dxa"/>
            <w:vAlign w:val="top"/>
          </w:tcPr>
          <w:p>
            <w:pPr>
              <w:rPr>
                <w:rFonts w:hint="eastAsia" w:ascii="仿宋" w:hAnsi="仿宋" w:eastAsia="仿宋" w:cs="仿宋"/>
                <w:sz w:val="24"/>
                <w:szCs w:val="24"/>
              </w:rPr>
            </w:pPr>
          </w:p>
        </w:tc>
        <w:tc>
          <w:tcPr>
            <w:tcW w:w="5752" w:type="dxa"/>
            <w:gridSpan w:val="3"/>
            <w:vAlign w:val="top"/>
          </w:tcPr>
          <w:p>
            <w:pPr>
              <w:rPr>
                <w:rFonts w:hint="eastAsia" w:ascii="仿宋" w:hAnsi="仿宋" w:eastAsia="仿宋" w:cs="仿宋"/>
                <w:sz w:val="24"/>
                <w:szCs w:val="24"/>
              </w:rPr>
            </w:pPr>
          </w:p>
        </w:tc>
        <w:tc>
          <w:tcPr>
            <w:tcW w:w="1100" w:type="dxa"/>
            <w:vAlign w:val="top"/>
          </w:tcPr>
          <w:p>
            <w:pPr>
              <w:rPr>
                <w:rFonts w:hint="eastAsia" w:ascii="仿宋" w:hAnsi="仿宋" w:eastAsia="仿宋" w:cs="仿宋"/>
                <w:sz w:val="24"/>
                <w:szCs w:val="24"/>
              </w:rPr>
            </w:pPr>
          </w:p>
        </w:tc>
      </w:tr>
      <w:tr>
        <w:trPr>
          <w:trHeight w:val="567" w:hRule="atLeast"/>
          <w:jc w:val="center"/>
        </w:trPr>
        <w:tc>
          <w:tcPr>
            <w:tcW w:w="225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申报人</w:t>
            </w:r>
          </w:p>
        </w:tc>
        <w:tc>
          <w:tcPr>
            <w:tcW w:w="6852" w:type="dxa"/>
            <w:gridSpan w:val="4"/>
            <w:vAlign w:val="center"/>
          </w:tcPr>
          <w:p>
            <w:pPr>
              <w:jc w:val="center"/>
              <w:rPr>
                <w:rFonts w:hint="eastAsia" w:ascii="仿宋" w:hAnsi="仿宋" w:eastAsia="仿宋" w:cs="仿宋"/>
                <w:sz w:val="24"/>
                <w:szCs w:val="24"/>
              </w:rPr>
            </w:pPr>
          </w:p>
        </w:tc>
      </w:tr>
      <w:tr>
        <w:trPr>
          <w:trHeight w:val="567" w:hRule="atLeast"/>
          <w:jc w:val="center"/>
        </w:trPr>
        <w:tc>
          <w:tcPr>
            <w:tcW w:w="2256"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授权代表（评标）</w:t>
            </w:r>
          </w:p>
        </w:tc>
        <w:tc>
          <w:tcPr>
            <w:tcW w:w="6852" w:type="dxa"/>
            <w:gridSpan w:val="4"/>
            <w:vAlign w:val="center"/>
          </w:tcPr>
          <w:p>
            <w:pPr>
              <w:jc w:val="center"/>
              <w:rPr>
                <w:rFonts w:hint="eastAsia" w:ascii="仿宋" w:hAnsi="仿宋" w:eastAsia="仿宋" w:cs="仿宋"/>
                <w:sz w:val="24"/>
                <w:szCs w:val="24"/>
              </w:rPr>
            </w:pPr>
          </w:p>
        </w:tc>
      </w:tr>
      <w:tr>
        <w:trPr>
          <w:trHeight w:val="567" w:hRule="atLeast"/>
          <w:jc w:val="center"/>
        </w:trPr>
        <w:tc>
          <w:tcPr>
            <w:tcW w:w="2256"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单位负责人</w:t>
            </w:r>
          </w:p>
        </w:tc>
        <w:tc>
          <w:tcPr>
            <w:tcW w:w="6852" w:type="dxa"/>
            <w:gridSpan w:val="4"/>
            <w:vAlign w:val="center"/>
          </w:tcPr>
          <w:p>
            <w:pPr>
              <w:jc w:val="center"/>
              <w:rPr>
                <w:rFonts w:hint="eastAsia" w:ascii="仿宋" w:hAnsi="仿宋" w:eastAsia="仿宋" w:cs="仿宋"/>
                <w:sz w:val="24"/>
                <w:szCs w:val="24"/>
              </w:rPr>
            </w:pPr>
          </w:p>
        </w:tc>
      </w:tr>
    </w:tbl>
    <w:p>
      <w:pPr>
        <w:ind w:left="443" w:hanging="514" w:hangingChars="245"/>
        <w:jc w:val="left"/>
        <w:rPr>
          <w:rFonts w:hint="eastAsia" w:ascii="仿宋" w:hAnsi="仿宋" w:eastAsia="仿宋"/>
          <w:b w:val="0"/>
          <w:bCs/>
          <w:sz w:val="21"/>
          <w:szCs w:val="21"/>
        </w:rPr>
      </w:pPr>
      <w:r>
        <w:rPr>
          <w:rFonts w:hint="eastAsia" w:ascii="仿宋" w:hAnsi="仿宋" w:eastAsia="仿宋"/>
          <w:b w:val="0"/>
          <w:bCs/>
          <w:sz w:val="21"/>
          <w:szCs w:val="21"/>
        </w:rPr>
        <w:t>注：</w:t>
      </w:r>
      <w:r>
        <w:rPr>
          <w:rFonts w:hint="eastAsia" w:ascii="仿宋" w:hAnsi="仿宋" w:eastAsia="仿宋"/>
          <w:b w:val="0"/>
          <w:bCs/>
          <w:sz w:val="21"/>
          <w:szCs w:val="21"/>
          <w:lang w:val="en-US" w:eastAsia="zh-CN"/>
        </w:rPr>
        <w:t>1、</w:t>
      </w:r>
      <w:r>
        <w:rPr>
          <w:rFonts w:hint="eastAsia" w:ascii="仿宋" w:hAnsi="仿宋" w:eastAsia="仿宋"/>
          <w:b w:val="0"/>
          <w:bCs/>
          <w:sz w:val="21"/>
          <w:szCs w:val="21"/>
        </w:rPr>
        <w:t>参数不可与已获批采购预算有冲突，如有冲突以已批准采购文件为准</w:t>
      </w:r>
    </w:p>
    <w:p>
      <w:pPr>
        <w:numPr>
          <w:ilvl w:val="0"/>
          <w:numId w:val="0"/>
        </w:numPr>
        <w:ind w:firstLine="420" w:firstLineChars="0"/>
        <w:jc w:val="left"/>
        <w:rPr>
          <w:rFonts w:hint="eastAsia" w:ascii="仿宋" w:hAnsi="仿宋" w:eastAsia="仿宋"/>
          <w:b w:val="0"/>
          <w:bCs/>
          <w:sz w:val="21"/>
          <w:szCs w:val="21"/>
        </w:rPr>
      </w:pPr>
      <w:r>
        <w:rPr>
          <w:rFonts w:hint="eastAsia" w:ascii="仿宋" w:hAnsi="仿宋" w:eastAsia="仿宋"/>
          <w:b w:val="0"/>
          <w:bCs/>
          <w:sz w:val="21"/>
          <w:szCs w:val="21"/>
          <w:lang w:val="en-US" w:eastAsia="zh-CN"/>
        </w:rPr>
        <w:t>2、</w:t>
      </w:r>
      <w:r>
        <w:rPr>
          <w:rFonts w:hint="eastAsia" w:ascii="仿宋" w:hAnsi="仿宋" w:eastAsia="仿宋"/>
          <w:b w:val="0"/>
          <w:bCs/>
          <w:sz w:val="21"/>
          <w:szCs w:val="21"/>
        </w:rPr>
        <w:t>不得含有排他性技术指标</w:t>
      </w:r>
    </w:p>
    <w:p>
      <w:pPr>
        <w:numPr>
          <w:ilvl w:val="0"/>
          <w:numId w:val="0"/>
        </w:numPr>
        <w:ind w:firstLine="420" w:firstLineChars="0"/>
        <w:jc w:val="left"/>
        <w:rPr>
          <w:rFonts w:ascii="仿宋" w:hAnsi="仿宋" w:eastAsia="仿宋"/>
          <w:b w:val="0"/>
          <w:bCs/>
          <w:sz w:val="21"/>
          <w:szCs w:val="21"/>
        </w:rPr>
      </w:pPr>
      <w:r>
        <w:rPr>
          <w:rFonts w:ascii="仿宋" w:hAnsi="仿宋" w:eastAsia="仿宋"/>
          <w:b w:val="0"/>
          <w:bCs/>
          <w:sz w:val="21"/>
          <w:szCs w:val="21"/>
        </w:rPr>
        <w:t>3</w:t>
      </w:r>
      <w:r>
        <w:rPr>
          <w:rFonts w:hint="eastAsia" w:ascii="仿宋" w:hAnsi="仿宋" w:eastAsia="仿宋"/>
          <w:b w:val="0"/>
          <w:bCs/>
          <w:sz w:val="21"/>
          <w:szCs w:val="21"/>
        </w:rPr>
        <w:t>、条目可根据具体情况增减</w:t>
      </w:r>
    </w:p>
    <w:p>
      <w:pPr>
        <w:numPr>
          <w:ilvl w:val="0"/>
          <w:numId w:val="0"/>
        </w:numPr>
        <w:ind w:firstLine="420" w:firstLineChars="0"/>
        <w:jc w:val="left"/>
        <w:rPr>
          <w:rFonts w:hint="eastAsia" w:ascii="仿宋" w:hAnsi="仿宋" w:eastAsia="仿宋"/>
          <w:b w:val="0"/>
          <w:bCs/>
          <w:sz w:val="18"/>
          <w:szCs w:val="18"/>
        </w:rPr>
      </w:pPr>
      <w:r>
        <w:rPr>
          <w:rFonts w:ascii="仿宋" w:hAnsi="仿宋" w:eastAsia="仿宋"/>
          <w:b w:val="0"/>
          <w:bCs/>
          <w:sz w:val="21"/>
          <w:szCs w:val="21"/>
        </w:rPr>
        <w:t>4</w:t>
      </w:r>
      <w:r>
        <w:rPr>
          <w:rFonts w:hint="eastAsia" w:ascii="仿宋" w:hAnsi="仿宋" w:eastAsia="仿宋"/>
          <w:b w:val="0"/>
          <w:bCs/>
          <w:sz w:val="21"/>
          <w:szCs w:val="21"/>
        </w:rPr>
        <w:t>、本页不够可另起一页</w:t>
      </w:r>
      <w:r>
        <w:rPr>
          <w:rFonts w:hint="eastAsia" w:ascii="仿宋" w:hAnsi="仿宋" w:eastAsia="仿宋"/>
          <w:b w:val="0"/>
          <w:bCs/>
          <w:sz w:val="18"/>
          <w:szCs w:val="18"/>
        </w:rPr>
        <w:t>。</w:t>
      </w:r>
    </w:p>
    <w:p>
      <w:pPr>
        <w:rPr>
          <w:rFonts w:hint="eastAsia" w:ascii="仿宋" w:hAnsi="仿宋" w:eastAsia="仿宋"/>
          <w:b w:val="0"/>
          <w:bCs/>
          <w:sz w:val="18"/>
          <w:szCs w:val="18"/>
        </w:rPr>
      </w:pPr>
      <w:r>
        <w:rPr>
          <w:rFonts w:hint="eastAsia" w:ascii="仿宋" w:hAnsi="仿宋" w:eastAsia="仿宋"/>
          <w:b w:val="0"/>
          <w:bCs/>
          <w:sz w:val="18"/>
          <w:szCs w:val="18"/>
        </w:rPr>
        <w:br w:type="page"/>
      </w:r>
    </w:p>
    <w:p>
      <w:pPr>
        <w:jc w:val="center"/>
        <w:rPr>
          <w:rFonts w:hint="eastAsia" w:ascii="宋体" w:hAnsi="宋体" w:eastAsia="宋体" w:cs="宋体"/>
          <w:b/>
          <w:sz w:val="36"/>
          <w:szCs w:val="36"/>
        </w:rPr>
      </w:pPr>
      <w:r>
        <w:rPr>
          <w:rFonts w:hint="eastAsia" w:ascii="宋体" w:hAnsi="宋体" w:eastAsia="宋体" w:cs="宋体"/>
          <w:b/>
          <w:bCs/>
          <w:sz w:val="36"/>
          <w:szCs w:val="36"/>
          <w:lang w:eastAsia="zh-CN"/>
        </w:rPr>
        <w:t>珠海科技学院</w:t>
      </w:r>
      <w:r>
        <w:rPr>
          <w:rFonts w:hint="eastAsia" w:ascii="宋体" w:hAnsi="宋体" w:eastAsia="宋体" w:cs="宋体"/>
          <w:b/>
          <w:bCs/>
          <w:sz w:val="36"/>
          <w:szCs w:val="36"/>
        </w:rPr>
        <w:t>设备类采购合同</w:t>
      </w:r>
      <w:permStart w:id="0" w:edGrp="everyone"/>
      <w:permEnd w:id="0"/>
    </w:p>
    <w:p>
      <w:pPr>
        <w:ind w:firstLine="2765" w:firstLineChars="1151"/>
        <w:rPr>
          <w:rFonts w:hint="eastAsia" w:ascii="宋体" w:hAnsi="宋体" w:eastAsia="宋体" w:cs="宋体"/>
          <w:b/>
          <w:sz w:val="24"/>
        </w:rPr>
      </w:pPr>
    </w:p>
    <w:tbl>
      <w:tblPr>
        <w:tblStyle w:val="5"/>
        <w:tblW w:w="8472" w:type="dxa"/>
        <w:tblInd w:w="0" w:type="dxa"/>
        <w:tblLayout w:type="fixed"/>
        <w:tblCellMar>
          <w:top w:w="0" w:type="dxa"/>
          <w:left w:w="108" w:type="dxa"/>
          <w:bottom w:w="0" w:type="dxa"/>
          <w:right w:w="108" w:type="dxa"/>
        </w:tblCellMar>
      </w:tblPr>
      <w:tblGrid>
        <w:gridCol w:w="864"/>
        <w:gridCol w:w="3639"/>
        <w:gridCol w:w="1559"/>
        <w:gridCol w:w="2410"/>
      </w:tblGrid>
      <w:tr>
        <w:trPr>
          <w:trHeight w:val="482" w:hRule="atLeast"/>
        </w:trPr>
        <w:tc>
          <w:tcPr>
            <w:tcW w:w="864" w:type="dxa"/>
          </w:tcPr>
          <w:p>
            <w:pPr>
              <w:rPr>
                <w:rFonts w:hint="eastAsia" w:ascii="宋体" w:hAnsi="宋体" w:eastAsia="宋体" w:cs="宋体"/>
                <w:b/>
                <w:sz w:val="24"/>
              </w:rPr>
            </w:pPr>
            <w:permStart w:id="1" w:edGrp="everyone" w:colFirst="3" w:colLast="3"/>
            <w:r>
              <w:rPr>
                <w:rFonts w:hint="eastAsia" w:ascii="宋体" w:hAnsi="宋体" w:eastAsia="宋体" w:cs="宋体"/>
                <w:sz w:val="24"/>
              </w:rPr>
              <w:t>甲方：</w:t>
            </w:r>
          </w:p>
        </w:tc>
        <w:tc>
          <w:tcPr>
            <w:tcW w:w="3639" w:type="dxa"/>
          </w:tcPr>
          <w:p>
            <w:pPr>
              <w:rPr>
                <w:rFonts w:hint="eastAsia" w:ascii="宋体" w:hAnsi="宋体" w:eastAsia="宋体" w:cs="宋体"/>
                <w:b/>
                <w:sz w:val="24"/>
                <w:lang w:eastAsia="zh-CN"/>
              </w:rPr>
            </w:pPr>
            <w:r>
              <w:rPr>
                <w:rFonts w:hint="eastAsia" w:ascii="宋体" w:hAnsi="宋体" w:eastAsia="宋体" w:cs="宋体"/>
                <w:sz w:val="24"/>
                <w:lang w:eastAsia="zh-CN"/>
              </w:rPr>
              <w:t>珠海科技学院</w:t>
            </w:r>
          </w:p>
        </w:tc>
        <w:tc>
          <w:tcPr>
            <w:tcW w:w="1559" w:type="dxa"/>
          </w:tcPr>
          <w:p>
            <w:pPr>
              <w:rPr>
                <w:rFonts w:hint="eastAsia" w:ascii="宋体" w:hAnsi="宋体" w:eastAsia="宋体" w:cs="宋体"/>
                <w:b/>
                <w:sz w:val="24"/>
              </w:rPr>
            </w:pPr>
            <w:r>
              <w:rPr>
                <w:rFonts w:hint="eastAsia" w:ascii="宋体" w:hAnsi="宋体" w:eastAsia="宋体" w:cs="宋体"/>
                <w:sz w:val="24"/>
              </w:rPr>
              <w:t>合同编号：</w:t>
            </w:r>
          </w:p>
        </w:tc>
        <w:tc>
          <w:tcPr>
            <w:tcW w:w="2410" w:type="dxa"/>
          </w:tcPr>
          <w:p>
            <w:pPr>
              <w:rPr>
                <w:rFonts w:hint="eastAsia" w:ascii="宋体" w:hAnsi="宋体" w:eastAsia="宋体" w:cs="宋体"/>
                <w:sz w:val="24"/>
                <w:shd w:val="pct10" w:color="auto" w:fill="FFFFFF"/>
              </w:rPr>
            </w:pPr>
            <w:bookmarkStart w:id="0" w:name="htbh"/>
            <w:bookmarkEnd w:id="0"/>
          </w:p>
        </w:tc>
      </w:tr>
      <w:permEnd w:id="1"/>
      <w:tr>
        <w:trPr>
          <w:trHeight w:val="559" w:hRule="atLeast"/>
        </w:trPr>
        <w:tc>
          <w:tcPr>
            <w:tcW w:w="864" w:type="dxa"/>
          </w:tcPr>
          <w:p>
            <w:pPr>
              <w:rPr>
                <w:rFonts w:hint="eastAsia" w:ascii="宋体" w:hAnsi="宋体" w:eastAsia="宋体" w:cs="宋体"/>
                <w:b/>
                <w:sz w:val="24"/>
              </w:rPr>
            </w:pPr>
            <w:permStart w:id="2" w:edGrp="everyone" w:colFirst="1" w:colLast="1"/>
            <w:r>
              <w:rPr>
                <w:rFonts w:hint="eastAsia" w:ascii="宋体" w:hAnsi="宋体" w:eastAsia="宋体" w:cs="宋体"/>
                <w:sz w:val="24"/>
              </w:rPr>
              <w:t>乙方：</w:t>
            </w:r>
          </w:p>
        </w:tc>
        <w:tc>
          <w:tcPr>
            <w:tcW w:w="3639" w:type="dxa"/>
            <w:shd w:val="clear" w:color="auto" w:fill="auto"/>
          </w:tcPr>
          <w:p>
            <w:pPr>
              <w:rPr>
                <w:rFonts w:hint="eastAsia" w:ascii="宋体" w:hAnsi="宋体" w:eastAsia="宋体" w:cs="宋体"/>
                <w:sz w:val="24"/>
                <w:shd w:val="pct10" w:color="auto" w:fill="FFFFFF"/>
              </w:rPr>
            </w:pPr>
          </w:p>
        </w:tc>
        <w:tc>
          <w:tcPr>
            <w:tcW w:w="1559" w:type="dxa"/>
          </w:tcPr>
          <w:p>
            <w:pPr>
              <w:rPr>
                <w:rFonts w:hint="eastAsia" w:ascii="宋体" w:hAnsi="宋体" w:eastAsia="宋体" w:cs="宋体"/>
                <w:b/>
                <w:sz w:val="24"/>
              </w:rPr>
            </w:pPr>
            <w:bookmarkStart w:id="1" w:name="htlb"/>
            <w:bookmarkEnd w:id="1"/>
            <w:r>
              <w:rPr>
                <w:rFonts w:hint="eastAsia" w:ascii="宋体" w:hAnsi="宋体" w:eastAsia="宋体" w:cs="宋体"/>
                <w:sz w:val="24"/>
              </w:rPr>
              <w:t>签订日期：</w:t>
            </w:r>
          </w:p>
        </w:tc>
        <w:tc>
          <w:tcPr>
            <w:tcW w:w="2410" w:type="dxa"/>
            <w:shd w:val="clear" w:color="auto" w:fill="auto"/>
          </w:tcPr>
          <w:p>
            <w:pPr>
              <w:rPr>
                <w:rFonts w:hint="eastAsia" w:ascii="宋体" w:hAnsi="宋体" w:eastAsia="宋体" w:cs="宋体"/>
                <w:sz w:val="24"/>
              </w:rPr>
            </w:pPr>
            <w:r>
              <w:rPr>
                <w:rFonts w:hint="eastAsia" w:ascii="宋体" w:hAnsi="宋体" w:eastAsia="宋体" w:cs="宋体"/>
                <w:sz w:val="24"/>
              </w:rPr>
              <w:t>20</w:t>
            </w:r>
            <w:r>
              <w:rPr>
                <w:rFonts w:hint="eastAsia" w:ascii="宋体" w:hAnsi="宋体" w:eastAsia="宋体" w:cs="宋体"/>
                <w:sz w:val="24"/>
                <w:lang w:val="en-US" w:eastAsia="zh-CN"/>
              </w:rPr>
              <w:t>23</w:t>
            </w:r>
            <w:r>
              <w:rPr>
                <w:rFonts w:hint="eastAsia" w:ascii="宋体" w:hAnsi="宋体" w:eastAsia="宋体" w:cs="宋体"/>
                <w:sz w:val="24"/>
              </w:rPr>
              <w:t>年</w:t>
            </w:r>
            <w:permStart w:id="3" w:edGrp="everyone"/>
            <w:r>
              <w:rPr>
                <w:rFonts w:hint="eastAsia" w:ascii="宋体" w:hAnsi="宋体" w:eastAsia="宋体" w:cs="宋体"/>
                <w:sz w:val="24"/>
              </w:rPr>
              <w:t xml:space="preserve"> </w:t>
            </w:r>
            <w:permEnd w:id="3"/>
            <w:r>
              <w:rPr>
                <w:rFonts w:hint="eastAsia" w:ascii="宋体" w:hAnsi="宋体" w:eastAsia="宋体" w:cs="宋体"/>
                <w:sz w:val="24"/>
              </w:rPr>
              <w:t>月</w:t>
            </w:r>
            <w:permStart w:id="4" w:edGrp="everyone"/>
            <w:r>
              <w:rPr>
                <w:rFonts w:hint="eastAsia" w:ascii="宋体" w:hAnsi="宋体" w:eastAsia="宋体" w:cs="宋体"/>
                <w:sz w:val="24"/>
              </w:rPr>
              <w:t xml:space="preserve"> </w:t>
            </w:r>
            <w:permEnd w:id="4"/>
            <w:r>
              <w:rPr>
                <w:rFonts w:hint="eastAsia" w:ascii="宋体" w:hAnsi="宋体" w:eastAsia="宋体" w:cs="宋体"/>
                <w:sz w:val="24"/>
              </w:rPr>
              <w:t>日</w:t>
            </w:r>
          </w:p>
        </w:tc>
      </w:tr>
      <w:permEnd w:id="2"/>
      <w:tr>
        <w:tc>
          <w:tcPr>
            <w:tcW w:w="864" w:type="dxa"/>
          </w:tcPr>
          <w:p>
            <w:pPr>
              <w:rPr>
                <w:rFonts w:hint="eastAsia" w:ascii="宋体" w:hAnsi="宋体" w:eastAsia="宋体" w:cs="宋体"/>
                <w:b/>
                <w:sz w:val="24"/>
              </w:rPr>
            </w:pPr>
          </w:p>
        </w:tc>
        <w:tc>
          <w:tcPr>
            <w:tcW w:w="3639" w:type="dxa"/>
          </w:tcPr>
          <w:p>
            <w:pPr>
              <w:ind w:firstLine="960" w:firstLineChars="400"/>
              <w:rPr>
                <w:rFonts w:hint="eastAsia" w:ascii="宋体" w:hAnsi="宋体" w:eastAsia="宋体" w:cs="宋体"/>
                <w:sz w:val="24"/>
              </w:rPr>
            </w:pPr>
            <w:bookmarkStart w:id="2" w:name="yfdw"/>
            <w:bookmarkEnd w:id="2"/>
          </w:p>
        </w:tc>
        <w:tc>
          <w:tcPr>
            <w:tcW w:w="1559" w:type="dxa"/>
          </w:tcPr>
          <w:p>
            <w:pPr>
              <w:rPr>
                <w:rFonts w:hint="eastAsia" w:ascii="宋体" w:hAnsi="宋体" w:eastAsia="宋体" w:cs="宋体"/>
                <w:b/>
                <w:sz w:val="24"/>
              </w:rPr>
            </w:pPr>
            <w:r>
              <w:rPr>
                <w:rFonts w:hint="eastAsia" w:ascii="宋体" w:hAnsi="宋体" w:eastAsia="宋体" w:cs="宋体"/>
                <w:sz w:val="24"/>
              </w:rPr>
              <w:t>签订地点：</w:t>
            </w:r>
          </w:p>
        </w:tc>
        <w:tc>
          <w:tcPr>
            <w:tcW w:w="2410" w:type="dxa"/>
            <w:shd w:val="clear" w:color="auto" w:fill="auto"/>
          </w:tcPr>
          <w:p>
            <w:pPr>
              <w:rPr>
                <w:rFonts w:hint="eastAsia" w:ascii="宋体" w:hAnsi="宋体" w:eastAsia="宋体" w:cs="宋体"/>
                <w:b/>
                <w:sz w:val="24"/>
                <w:lang w:eastAsia="zh-CN"/>
              </w:rPr>
            </w:pPr>
            <w:r>
              <w:rPr>
                <w:rFonts w:hint="eastAsia" w:ascii="宋体" w:hAnsi="宋体" w:eastAsia="宋体" w:cs="宋体"/>
                <w:sz w:val="24"/>
                <w:lang w:eastAsia="zh-CN"/>
              </w:rPr>
              <w:t>珠海科技学院</w:t>
            </w:r>
          </w:p>
        </w:tc>
      </w:tr>
    </w:tbl>
    <w:p>
      <w:pPr>
        <w:spacing w:line="360" w:lineRule="auto"/>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根据《中华人民共和国</w:t>
      </w:r>
      <w:r>
        <w:rPr>
          <w:rFonts w:hint="eastAsia" w:ascii="宋体" w:hAnsi="宋体" w:eastAsia="宋体" w:cs="宋体"/>
          <w:sz w:val="24"/>
          <w:lang w:eastAsia="zh-CN"/>
        </w:rPr>
        <w:t>民法典</w:t>
      </w:r>
      <w:r>
        <w:rPr>
          <w:rFonts w:hint="eastAsia" w:ascii="宋体" w:hAnsi="宋体" w:eastAsia="宋体" w:cs="宋体"/>
          <w:sz w:val="24"/>
        </w:rPr>
        <w:t>》等有关法律,甲乙双方本着平等互利,诚实守信的原则,经友好协商,达成</w:t>
      </w:r>
      <w:r>
        <w:rPr>
          <w:rFonts w:hint="eastAsia" w:ascii="宋体" w:hAnsi="宋体" w:eastAsia="宋体" w:cs="宋体"/>
          <w:color w:val="000000" w:themeColor="text1"/>
          <w:sz w:val="24"/>
          <w14:textFill>
            <w14:solidFill>
              <w14:schemeClr w14:val="tx1"/>
            </w14:solidFill>
          </w14:textFill>
        </w:rPr>
        <w:t>一致,</w:t>
      </w:r>
      <w:r>
        <w:rPr>
          <w:rFonts w:hint="eastAsia" w:ascii="宋体" w:hAnsi="宋体" w:eastAsia="宋体" w:cs="宋体"/>
          <w:sz w:val="24"/>
        </w:rPr>
        <w:t>签订本合同。</w:t>
      </w:r>
    </w:p>
    <w:p>
      <w:pPr>
        <w:pStyle w:val="10"/>
        <w:numPr>
          <w:ilvl w:val="0"/>
          <w:numId w:val="1"/>
        </w:numPr>
        <w:spacing w:line="360" w:lineRule="auto"/>
        <w:ind w:firstLineChars="0"/>
        <w:rPr>
          <w:rFonts w:hint="eastAsia" w:ascii="宋体" w:hAnsi="宋体" w:eastAsia="宋体" w:cs="宋体"/>
          <w:sz w:val="24"/>
        </w:rPr>
      </w:pPr>
      <w:r>
        <w:rPr>
          <w:rFonts w:hint="eastAsia" w:ascii="宋体" w:hAnsi="宋体" w:eastAsia="宋体" w:cs="宋体"/>
          <w:b/>
          <w:sz w:val="24"/>
        </w:rPr>
        <w:t>合同产品</w:t>
      </w:r>
      <w:r>
        <w:rPr>
          <w:rFonts w:hint="eastAsia" w:ascii="宋体" w:hAnsi="宋体" w:eastAsia="宋体" w:cs="宋体"/>
          <w:sz w:val="24"/>
        </w:rPr>
        <w:t xml:space="preserve">                           单位：元</w:t>
      </w:r>
    </w:p>
    <w:tbl>
      <w:tblPr>
        <w:tblStyle w:val="6"/>
        <w:tblW w:w="935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108" w:type="dxa"/>
          <w:bottom w:w="0" w:type="dxa"/>
          <w:right w:w="108" w:type="dxa"/>
        </w:tblCellMar>
      </w:tblPr>
      <w:tblGrid>
        <w:gridCol w:w="710"/>
        <w:gridCol w:w="1559"/>
        <w:gridCol w:w="1559"/>
        <w:gridCol w:w="1700"/>
        <w:gridCol w:w="710"/>
        <w:gridCol w:w="709"/>
        <w:gridCol w:w="1134"/>
        <w:gridCol w:w="1275"/>
      </w:tblGrid>
      <w:tr>
        <w:tc>
          <w:tcPr>
            <w:tcW w:w="710" w:type="dxa"/>
            <w:shd w:val="clear" w:color="auto" w:fill="FFFFFF" w:themeFill="background1"/>
            <w:vAlign w:val="center"/>
          </w:tcPr>
          <w:p>
            <w:pPr>
              <w:spacing w:line="360" w:lineRule="auto"/>
              <w:jc w:val="center"/>
              <w:rPr>
                <w:rFonts w:hint="eastAsia" w:ascii="宋体" w:hAnsi="宋体" w:eastAsia="宋体" w:cs="宋体"/>
                <w:szCs w:val="21"/>
              </w:rPr>
            </w:pPr>
            <w:permStart w:id="5" w:edGrp="everyone"/>
            <w:r>
              <w:rPr>
                <w:rFonts w:hint="eastAsia" w:ascii="宋体" w:hAnsi="宋体" w:eastAsia="宋体" w:cs="宋体"/>
                <w:szCs w:val="21"/>
              </w:rPr>
              <w:t>序号</w:t>
            </w:r>
          </w:p>
        </w:tc>
        <w:tc>
          <w:tcPr>
            <w:tcW w:w="1559" w:type="dxa"/>
            <w:shd w:val="clear" w:color="auto" w:fill="FFFFFF" w:themeFill="background1"/>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名称</w:t>
            </w:r>
          </w:p>
        </w:tc>
        <w:tc>
          <w:tcPr>
            <w:tcW w:w="1559" w:type="dxa"/>
            <w:shd w:val="clear" w:color="auto" w:fill="FFFFFF" w:themeFill="background1"/>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规格型号</w:t>
            </w:r>
          </w:p>
        </w:tc>
        <w:tc>
          <w:tcPr>
            <w:tcW w:w="1700" w:type="dxa"/>
            <w:shd w:val="clear" w:color="auto" w:fill="FFFFFF" w:themeFill="background1"/>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生产商</w:t>
            </w:r>
          </w:p>
        </w:tc>
        <w:tc>
          <w:tcPr>
            <w:tcW w:w="710" w:type="dxa"/>
            <w:shd w:val="clear" w:color="auto" w:fill="FFFFFF" w:themeFill="background1"/>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单位</w:t>
            </w:r>
          </w:p>
        </w:tc>
        <w:tc>
          <w:tcPr>
            <w:tcW w:w="709" w:type="dxa"/>
            <w:shd w:val="clear" w:color="auto" w:fill="FFFFFF" w:themeFill="background1"/>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数量</w:t>
            </w:r>
          </w:p>
        </w:tc>
        <w:tc>
          <w:tcPr>
            <w:tcW w:w="1134" w:type="dxa"/>
            <w:shd w:val="clear" w:color="auto" w:fill="FFFFFF" w:themeFill="background1"/>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单价</w:t>
            </w:r>
          </w:p>
        </w:tc>
        <w:tc>
          <w:tcPr>
            <w:tcW w:w="1275" w:type="dxa"/>
            <w:shd w:val="clear" w:color="auto" w:fill="FFFFFF" w:themeFill="background1"/>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总价</w:t>
            </w:r>
          </w:p>
        </w:tc>
      </w:tr>
      <w:tr>
        <w:trPr>
          <w:trHeight w:val="594" w:hRule="atLeast"/>
        </w:trPr>
        <w:tc>
          <w:tcPr>
            <w:tcW w:w="710" w:type="dxa"/>
            <w:shd w:val="clear" w:color="auto" w:fill="FFFFFF" w:themeFill="background1"/>
            <w:vAlign w:val="center"/>
          </w:tcPr>
          <w:p>
            <w:pPr>
              <w:spacing w:line="360" w:lineRule="auto"/>
              <w:jc w:val="center"/>
              <w:rPr>
                <w:rFonts w:hint="eastAsia" w:ascii="宋体" w:hAnsi="宋体" w:eastAsia="宋体" w:cs="宋体"/>
                <w:szCs w:val="21"/>
              </w:rPr>
            </w:pPr>
          </w:p>
        </w:tc>
        <w:tc>
          <w:tcPr>
            <w:tcW w:w="1559" w:type="dxa"/>
            <w:shd w:val="clear" w:color="auto" w:fill="FFFFFF" w:themeFill="background1"/>
          </w:tcPr>
          <w:p>
            <w:pPr>
              <w:spacing w:line="360" w:lineRule="auto"/>
              <w:rPr>
                <w:rFonts w:hint="eastAsia" w:ascii="宋体" w:hAnsi="宋体" w:eastAsia="宋体" w:cs="宋体"/>
                <w:szCs w:val="21"/>
              </w:rPr>
            </w:pPr>
          </w:p>
        </w:tc>
        <w:tc>
          <w:tcPr>
            <w:tcW w:w="1559" w:type="dxa"/>
            <w:shd w:val="clear" w:color="auto" w:fill="FFFFFF" w:themeFill="background1"/>
          </w:tcPr>
          <w:p>
            <w:pPr>
              <w:spacing w:line="360" w:lineRule="auto"/>
              <w:rPr>
                <w:rFonts w:hint="eastAsia" w:ascii="宋体" w:hAnsi="宋体" w:eastAsia="宋体" w:cs="宋体"/>
                <w:szCs w:val="21"/>
              </w:rPr>
            </w:pPr>
          </w:p>
        </w:tc>
        <w:tc>
          <w:tcPr>
            <w:tcW w:w="1700" w:type="dxa"/>
            <w:shd w:val="clear" w:color="auto" w:fill="FFFFFF" w:themeFill="background1"/>
          </w:tcPr>
          <w:p>
            <w:pPr>
              <w:spacing w:line="360" w:lineRule="auto"/>
              <w:rPr>
                <w:rFonts w:hint="eastAsia" w:ascii="宋体" w:hAnsi="宋体" w:eastAsia="宋体" w:cs="宋体"/>
                <w:szCs w:val="21"/>
              </w:rPr>
            </w:pPr>
          </w:p>
        </w:tc>
        <w:tc>
          <w:tcPr>
            <w:tcW w:w="710" w:type="dxa"/>
            <w:shd w:val="clear" w:color="auto" w:fill="FFFFFF" w:themeFill="background1"/>
            <w:vAlign w:val="center"/>
          </w:tcPr>
          <w:p>
            <w:pPr>
              <w:spacing w:line="360" w:lineRule="auto"/>
              <w:jc w:val="center"/>
              <w:rPr>
                <w:rFonts w:hint="eastAsia" w:ascii="宋体" w:hAnsi="宋体" w:eastAsia="宋体" w:cs="宋体"/>
                <w:szCs w:val="21"/>
              </w:rPr>
            </w:pPr>
          </w:p>
        </w:tc>
        <w:tc>
          <w:tcPr>
            <w:tcW w:w="709" w:type="dxa"/>
            <w:shd w:val="clear" w:color="auto" w:fill="FFFFFF" w:themeFill="background1"/>
            <w:vAlign w:val="center"/>
          </w:tcPr>
          <w:p>
            <w:pPr>
              <w:spacing w:line="360" w:lineRule="auto"/>
              <w:jc w:val="center"/>
              <w:rPr>
                <w:rFonts w:hint="eastAsia" w:ascii="宋体" w:hAnsi="宋体" w:eastAsia="宋体" w:cs="宋体"/>
                <w:sz w:val="24"/>
              </w:rPr>
            </w:pPr>
          </w:p>
        </w:tc>
        <w:tc>
          <w:tcPr>
            <w:tcW w:w="1134" w:type="dxa"/>
            <w:shd w:val="clear" w:color="auto" w:fill="FFFFFF" w:themeFill="background1"/>
            <w:vAlign w:val="center"/>
          </w:tcPr>
          <w:p>
            <w:pPr>
              <w:spacing w:line="360" w:lineRule="auto"/>
              <w:jc w:val="right"/>
              <w:rPr>
                <w:rFonts w:hint="eastAsia" w:ascii="宋体" w:hAnsi="宋体" w:eastAsia="宋体" w:cs="宋体"/>
                <w:sz w:val="24"/>
              </w:rPr>
            </w:pPr>
          </w:p>
        </w:tc>
        <w:tc>
          <w:tcPr>
            <w:tcW w:w="1275" w:type="dxa"/>
            <w:shd w:val="clear" w:color="auto" w:fill="FFFFFF" w:themeFill="background1"/>
            <w:vAlign w:val="center"/>
          </w:tcPr>
          <w:p>
            <w:pPr>
              <w:spacing w:line="360" w:lineRule="auto"/>
              <w:jc w:val="right"/>
              <w:rPr>
                <w:rFonts w:hint="eastAsia" w:ascii="宋体" w:hAnsi="宋体" w:eastAsia="宋体" w:cs="宋体"/>
                <w:sz w:val="24"/>
              </w:rPr>
            </w:pPr>
          </w:p>
        </w:tc>
      </w:tr>
      <w:tr>
        <w:tc>
          <w:tcPr>
            <w:tcW w:w="710" w:type="dxa"/>
            <w:shd w:val="clear" w:color="auto" w:fill="FFFFFF" w:themeFill="background1"/>
            <w:vAlign w:val="center"/>
          </w:tcPr>
          <w:p>
            <w:pPr>
              <w:spacing w:line="360" w:lineRule="auto"/>
              <w:jc w:val="center"/>
              <w:rPr>
                <w:rFonts w:hint="eastAsia" w:ascii="宋体" w:hAnsi="宋体" w:eastAsia="宋体" w:cs="宋体"/>
                <w:szCs w:val="21"/>
              </w:rPr>
            </w:pPr>
          </w:p>
        </w:tc>
        <w:tc>
          <w:tcPr>
            <w:tcW w:w="1559" w:type="dxa"/>
            <w:shd w:val="clear" w:color="auto" w:fill="FFFFFF" w:themeFill="background1"/>
          </w:tcPr>
          <w:p>
            <w:pPr>
              <w:spacing w:line="360" w:lineRule="auto"/>
              <w:rPr>
                <w:rFonts w:hint="eastAsia" w:ascii="宋体" w:hAnsi="宋体" w:eastAsia="宋体" w:cs="宋体"/>
                <w:szCs w:val="21"/>
              </w:rPr>
            </w:pPr>
          </w:p>
        </w:tc>
        <w:tc>
          <w:tcPr>
            <w:tcW w:w="1559" w:type="dxa"/>
            <w:shd w:val="clear" w:color="auto" w:fill="FFFFFF" w:themeFill="background1"/>
          </w:tcPr>
          <w:p>
            <w:pPr>
              <w:spacing w:line="360" w:lineRule="auto"/>
              <w:rPr>
                <w:rFonts w:hint="eastAsia" w:ascii="宋体" w:hAnsi="宋体" w:eastAsia="宋体" w:cs="宋体"/>
                <w:szCs w:val="21"/>
              </w:rPr>
            </w:pPr>
          </w:p>
        </w:tc>
        <w:tc>
          <w:tcPr>
            <w:tcW w:w="1700" w:type="dxa"/>
            <w:shd w:val="clear" w:color="auto" w:fill="FFFFFF" w:themeFill="background1"/>
          </w:tcPr>
          <w:p>
            <w:pPr>
              <w:spacing w:line="360" w:lineRule="auto"/>
              <w:rPr>
                <w:rFonts w:hint="eastAsia" w:ascii="宋体" w:hAnsi="宋体" w:eastAsia="宋体" w:cs="宋体"/>
                <w:szCs w:val="21"/>
              </w:rPr>
            </w:pPr>
          </w:p>
        </w:tc>
        <w:tc>
          <w:tcPr>
            <w:tcW w:w="710" w:type="dxa"/>
            <w:shd w:val="clear" w:color="auto" w:fill="FFFFFF" w:themeFill="background1"/>
            <w:vAlign w:val="center"/>
          </w:tcPr>
          <w:p>
            <w:pPr>
              <w:spacing w:line="360" w:lineRule="auto"/>
              <w:jc w:val="center"/>
              <w:rPr>
                <w:rFonts w:hint="eastAsia" w:ascii="宋体" w:hAnsi="宋体" w:eastAsia="宋体" w:cs="宋体"/>
                <w:szCs w:val="21"/>
              </w:rPr>
            </w:pPr>
          </w:p>
        </w:tc>
        <w:tc>
          <w:tcPr>
            <w:tcW w:w="709" w:type="dxa"/>
            <w:shd w:val="clear" w:color="auto" w:fill="FFFFFF" w:themeFill="background1"/>
            <w:vAlign w:val="center"/>
          </w:tcPr>
          <w:p>
            <w:pPr>
              <w:spacing w:line="360" w:lineRule="auto"/>
              <w:jc w:val="center"/>
              <w:rPr>
                <w:rFonts w:hint="eastAsia" w:ascii="宋体" w:hAnsi="宋体" w:eastAsia="宋体" w:cs="宋体"/>
                <w:sz w:val="24"/>
              </w:rPr>
            </w:pPr>
          </w:p>
        </w:tc>
        <w:tc>
          <w:tcPr>
            <w:tcW w:w="1134" w:type="dxa"/>
            <w:shd w:val="clear" w:color="auto" w:fill="FFFFFF" w:themeFill="background1"/>
            <w:vAlign w:val="center"/>
          </w:tcPr>
          <w:p>
            <w:pPr>
              <w:spacing w:line="360" w:lineRule="auto"/>
              <w:jc w:val="right"/>
              <w:rPr>
                <w:rFonts w:hint="eastAsia" w:ascii="宋体" w:hAnsi="宋体" w:eastAsia="宋体" w:cs="宋体"/>
                <w:sz w:val="24"/>
              </w:rPr>
            </w:pPr>
          </w:p>
        </w:tc>
        <w:tc>
          <w:tcPr>
            <w:tcW w:w="1275" w:type="dxa"/>
            <w:shd w:val="clear" w:color="auto" w:fill="FFFFFF" w:themeFill="background1"/>
            <w:vAlign w:val="center"/>
          </w:tcPr>
          <w:p>
            <w:pPr>
              <w:spacing w:line="360" w:lineRule="auto"/>
              <w:jc w:val="right"/>
              <w:rPr>
                <w:rFonts w:hint="eastAsia" w:ascii="宋体" w:hAnsi="宋体" w:eastAsia="宋体" w:cs="宋体"/>
                <w:sz w:val="24"/>
              </w:rPr>
            </w:pPr>
          </w:p>
        </w:tc>
      </w:tr>
      <w:tr>
        <w:tc>
          <w:tcPr>
            <w:tcW w:w="6238" w:type="dxa"/>
            <w:gridSpan w:val="5"/>
            <w:shd w:val="clear" w:color="auto" w:fill="FFFFFF" w:themeFill="background1"/>
            <w:vAlign w:val="center"/>
          </w:tcPr>
          <w:p>
            <w:pPr>
              <w:spacing w:line="360" w:lineRule="auto"/>
              <w:rPr>
                <w:rFonts w:hint="eastAsia" w:ascii="宋体" w:hAnsi="宋体" w:eastAsia="宋体" w:cs="宋体"/>
                <w:szCs w:val="21"/>
              </w:rPr>
            </w:pPr>
            <w:r>
              <w:rPr>
                <w:rFonts w:hint="eastAsia" w:ascii="宋体" w:hAnsi="宋体" w:eastAsia="宋体" w:cs="宋体"/>
                <w:szCs w:val="21"/>
              </w:rPr>
              <w:t>总计人民币金额（大写）：（含税）</w:t>
            </w:r>
          </w:p>
        </w:tc>
        <w:tc>
          <w:tcPr>
            <w:tcW w:w="3118" w:type="dxa"/>
            <w:gridSpan w:val="3"/>
            <w:shd w:val="clear" w:color="auto" w:fill="FFFFFF" w:themeFill="background1"/>
            <w:vAlign w:val="center"/>
          </w:tcPr>
          <w:p>
            <w:pPr>
              <w:spacing w:line="360" w:lineRule="auto"/>
              <w:rPr>
                <w:rFonts w:hint="eastAsia" w:ascii="宋体" w:hAnsi="宋体" w:eastAsia="宋体" w:cs="宋体"/>
                <w:sz w:val="24"/>
              </w:rPr>
            </w:pPr>
            <w:r>
              <w:rPr>
                <w:rFonts w:hint="eastAsia" w:ascii="宋体" w:hAnsi="宋体" w:eastAsia="宋体" w:cs="宋体"/>
                <w:sz w:val="24"/>
              </w:rPr>
              <w:t>￥</w:t>
            </w:r>
          </w:p>
        </w:tc>
      </w:tr>
    </w:tbl>
    <w:p>
      <w:pPr>
        <w:spacing w:line="400" w:lineRule="exact"/>
        <w:jc w:val="left"/>
        <w:rPr>
          <w:rFonts w:hint="eastAsia" w:ascii="宋体" w:hAnsi="宋体" w:eastAsia="宋体" w:cs="宋体"/>
          <w:sz w:val="24"/>
        </w:rPr>
      </w:pPr>
      <w:r>
        <w:rPr>
          <w:rFonts w:hint="eastAsia" w:ascii="宋体" w:hAnsi="宋体" w:eastAsia="宋体" w:cs="宋体"/>
          <w:sz w:val="24"/>
        </w:rPr>
        <w:t>注：配置清单、技术参数详见附件（</w:t>
      </w:r>
      <w:r>
        <w:rPr>
          <w:rFonts w:hint="eastAsia" w:ascii="宋体" w:hAnsi="宋体" w:eastAsia="宋体" w:cs="宋体"/>
          <w:color w:val="FF0000"/>
          <w:sz w:val="24"/>
        </w:rPr>
        <w:t>如无附件本行删除</w:t>
      </w:r>
      <w:r>
        <w:rPr>
          <w:rFonts w:hint="eastAsia" w:ascii="宋体" w:hAnsi="宋体" w:eastAsia="宋体" w:cs="宋体"/>
          <w:sz w:val="24"/>
        </w:rPr>
        <w:t>）。</w:t>
      </w:r>
    </w:p>
    <w:permEnd w:id="5"/>
    <w:p>
      <w:pPr>
        <w:spacing w:line="400" w:lineRule="exact"/>
        <w:jc w:val="left"/>
        <w:rPr>
          <w:rFonts w:hint="eastAsia" w:ascii="宋体" w:hAnsi="宋体" w:eastAsia="宋体" w:cs="宋体"/>
          <w:b/>
          <w:sz w:val="24"/>
        </w:rPr>
      </w:pPr>
      <w:r>
        <w:rPr>
          <w:rFonts w:hint="eastAsia" w:ascii="宋体" w:hAnsi="宋体" w:eastAsia="宋体" w:cs="宋体"/>
          <w:b/>
          <w:sz w:val="24"/>
        </w:rPr>
        <w:t>二</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sz w:val="24"/>
        </w:rPr>
        <w:t>知识产权</w:t>
      </w:r>
    </w:p>
    <w:p>
      <w:pPr>
        <w:pStyle w:val="10"/>
        <w:spacing w:line="400" w:lineRule="exact"/>
        <w:ind w:firstLine="501" w:firstLineChars="209"/>
        <w:jc w:val="left"/>
        <w:rPr>
          <w:rFonts w:hint="eastAsia" w:ascii="宋体" w:hAnsi="宋体" w:eastAsia="宋体" w:cs="宋体"/>
          <w:sz w:val="24"/>
        </w:rPr>
      </w:pPr>
      <w:r>
        <w:rPr>
          <w:rFonts w:hint="eastAsia" w:ascii="宋体" w:hAnsi="宋体" w:eastAsia="宋体" w:cs="宋体"/>
          <w:sz w:val="24"/>
        </w:rPr>
        <w:t>乙方应保证甲方在接受、使用本合同产品和服务或其任何一部分时不受第三方提出侵犯其专利权、版权和商标权等知识产权的起诉。一旦出现侵权，由乙方负全部责任。</w:t>
      </w:r>
    </w:p>
    <w:p>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三、交货时间、地点及交货方式</w:t>
      </w:r>
    </w:p>
    <w:p>
      <w:pPr>
        <w:pStyle w:val="10"/>
        <w:spacing w:line="540" w:lineRule="exact"/>
        <w:ind w:firstLine="480"/>
        <w:jc w:val="left"/>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乙方在</w:t>
      </w:r>
      <w:permStart w:id="6"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6"/>
      <w:r>
        <w:rPr>
          <w:rFonts w:hint="eastAsia" w:ascii="宋体" w:hAnsi="宋体" w:eastAsia="宋体" w:cs="宋体"/>
          <w:color w:val="000000" w:themeColor="text1"/>
          <w:sz w:val="24"/>
          <w14:textFill>
            <w14:solidFill>
              <w14:schemeClr w14:val="tx1"/>
            </w14:solidFill>
          </w14:textFill>
        </w:rPr>
        <w:t>年</w:t>
      </w:r>
      <w:permStart w:id="7"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7"/>
      <w:r>
        <w:rPr>
          <w:rFonts w:hint="eastAsia" w:ascii="宋体" w:hAnsi="宋体" w:eastAsia="宋体" w:cs="宋体"/>
          <w:color w:val="000000" w:themeColor="text1"/>
          <w:sz w:val="24"/>
          <w14:textFill>
            <w14:solidFill>
              <w14:schemeClr w14:val="tx1"/>
            </w14:solidFill>
          </w14:textFill>
        </w:rPr>
        <w:t>月</w:t>
      </w:r>
      <w:permStart w:id="8"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8"/>
      <w:r>
        <w:rPr>
          <w:rFonts w:hint="eastAsia" w:ascii="宋体" w:hAnsi="宋体" w:eastAsia="宋体" w:cs="宋体"/>
          <w:color w:val="000000" w:themeColor="text1"/>
          <w:sz w:val="24"/>
          <w14:textFill>
            <w14:solidFill>
              <w14:schemeClr w14:val="tx1"/>
            </w14:solidFill>
          </w14:textFill>
        </w:rPr>
        <w:t>日前将</w:t>
      </w:r>
      <w:r>
        <w:rPr>
          <w:rFonts w:hint="eastAsia" w:ascii="宋体" w:hAnsi="宋体" w:eastAsia="宋体" w:cs="宋体"/>
          <w:sz w:val="24"/>
        </w:rPr>
        <w:t>产品送达甲方指定地点：</w:t>
      </w:r>
      <w:r>
        <w:rPr>
          <w:rFonts w:hint="eastAsia" w:ascii="宋体" w:hAnsi="宋体" w:eastAsia="宋体" w:cs="宋体"/>
          <w:sz w:val="24"/>
          <w:lang w:eastAsia="zh-CN"/>
        </w:rPr>
        <w:t>珠海科技学</w:t>
      </w:r>
      <w:r>
        <w:rPr>
          <w:rFonts w:hint="eastAsia" w:ascii="宋体" w:hAnsi="宋体" w:eastAsia="宋体" w:cs="宋体"/>
          <w:sz w:val="24"/>
        </w:rPr>
        <w:t>院</w:t>
      </w:r>
      <w:permStart w:id="9" w:edGrp="everyone"/>
      <w:r>
        <w:rPr>
          <w:rFonts w:hint="eastAsia" w:ascii="宋体" w:hAnsi="宋体" w:eastAsia="宋体" w:cs="宋体"/>
          <w:color w:val="000000" w:themeColor="text1"/>
          <w:sz w:val="24"/>
          <w:shd w:val="pct10" w:color="auto" w:fill="FFFFFF"/>
          <w14:textFill>
            <w14:solidFill>
              <w14:schemeClr w14:val="tx1"/>
            </w14:solidFill>
          </w14:textFill>
        </w:rPr>
        <w:t>____________</w:t>
      </w:r>
      <w:permEnd w:id="9"/>
      <w:r>
        <w:rPr>
          <w:rFonts w:hint="eastAsia" w:ascii="宋体" w:hAnsi="宋体" w:eastAsia="宋体" w:cs="宋体"/>
          <w:color w:val="000000" w:themeColor="text1"/>
          <w:sz w:val="24"/>
          <w14:textFill>
            <w14:solidFill>
              <w14:schemeClr w14:val="tx1"/>
            </w14:solidFill>
          </w14:textFill>
        </w:rPr>
        <w:t>（具体地点）</w:t>
      </w:r>
      <w:r>
        <w:rPr>
          <w:rFonts w:hint="eastAsia" w:ascii="宋体" w:hAnsi="宋体" w:eastAsia="宋体" w:cs="宋体"/>
          <w:sz w:val="24"/>
        </w:rPr>
        <w:t>，进行安装、调试及操作人员培训，并交付使用。</w:t>
      </w:r>
    </w:p>
    <w:p>
      <w:pPr>
        <w:spacing w:line="540" w:lineRule="exact"/>
        <w:jc w:val="left"/>
        <w:rPr>
          <w:rFonts w:hint="eastAsia" w:ascii="宋体" w:hAnsi="宋体" w:eastAsia="宋体" w:cs="宋体"/>
          <w:b/>
          <w:sz w:val="24"/>
        </w:rPr>
      </w:pPr>
      <w:r>
        <w:rPr>
          <w:rFonts w:hint="eastAsia" w:ascii="宋体" w:hAnsi="宋体" w:eastAsia="宋体" w:cs="宋体"/>
          <w:b/>
          <w:sz w:val="24"/>
        </w:rPr>
        <w:t>四、包装及运费</w:t>
      </w:r>
    </w:p>
    <w:p>
      <w:pPr>
        <w:pStyle w:val="10"/>
        <w:spacing w:line="540" w:lineRule="exact"/>
        <w:ind w:firstLine="480"/>
        <w:jc w:val="left"/>
        <w:rPr>
          <w:rFonts w:hint="eastAsia" w:ascii="宋体" w:hAnsi="宋体" w:eastAsia="宋体" w:cs="宋体"/>
          <w:sz w:val="24"/>
        </w:rPr>
      </w:pPr>
      <w:r>
        <w:rPr>
          <w:rFonts w:hint="eastAsia" w:ascii="宋体" w:hAnsi="宋体" w:eastAsia="宋体" w:cs="宋体"/>
          <w:sz w:val="24"/>
        </w:rPr>
        <w:t>使用说明书、技术资料、随配附件和工具等应与产品一并包装交付，包装、运输、安装、调试及培训等费用全部由乙方承担，</w:t>
      </w:r>
      <w:r>
        <w:rPr>
          <w:rFonts w:hint="eastAsia" w:ascii="宋体" w:hAnsi="宋体" w:eastAsia="宋体" w:cs="宋体"/>
          <w:color w:val="000000" w:themeColor="text1"/>
          <w:sz w:val="24"/>
          <w14:textFill>
            <w14:solidFill>
              <w14:schemeClr w14:val="tx1"/>
            </w14:solidFill>
          </w14:textFill>
        </w:rPr>
        <w:t>在途毁损灭失的风险由乙方承担。</w:t>
      </w:r>
    </w:p>
    <w:p>
      <w:pPr>
        <w:spacing w:line="540" w:lineRule="exact"/>
        <w:jc w:val="left"/>
        <w:rPr>
          <w:rFonts w:hint="eastAsia" w:ascii="宋体" w:hAnsi="宋体" w:eastAsia="宋体" w:cs="宋体"/>
          <w:b/>
          <w:sz w:val="24"/>
        </w:rPr>
      </w:pPr>
      <w:r>
        <w:rPr>
          <w:rFonts w:hint="eastAsia" w:ascii="宋体" w:hAnsi="宋体" w:eastAsia="宋体" w:cs="宋体"/>
          <w:b/>
          <w:sz w:val="24"/>
        </w:rPr>
        <w:t>五、质保期</w:t>
      </w:r>
    </w:p>
    <w:p>
      <w:pPr>
        <w:pStyle w:val="10"/>
        <w:spacing w:line="540" w:lineRule="exact"/>
        <w:ind w:left="480" w:firstLine="0"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自甲方验收合格之日起，质保</w:t>
      </w:r>
      <w:permStart w:id="10"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10"/>
      <w:r>
        <w:rPr>
          <w:rFonts w:hint="eastAsia" w:ascii="宋体" w:hAnsi="宋体" w:eastAsia="宋体" w:cs="宋体"/>
          <w:color w:val="000000" w:themeColor="text1"/>
          <w:sz w:val="24"/>
          <w14:textFill>
            <w14:solidFill>
              <w14:schemeClr w14:val="tx1"/>
            </w14:solidFill>
          </w14:textFill>
        </w:rPr>
        <w:t>年。</w:t>
      </w:r>
    </w:p>
    <w:p>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 w:val="24"/>
        </w:rPr>
        <w:t>六、</w:t>
      </w:r>
      <w:r>
        <w:rPr>
          <w:rFonts w:hint="eastAsia" w:ascii="宋体" w:hAnsi="宋体" w:eastAsia="宋体" w:cs="宋体"/>
          <w:b/>
          <w:color w:val="000000" w:themeColor="text1"/>
          <w:sz w:val="24"/>
          <w14:textFill>
            <w14:solidFill>
              <w14:schemeClr w14:val="tx1"/>
            </w14:solidFill>
          </w14:textFill>
        </w:rPr>
        <w:t>验收方式</w:t>
      </w:r>
    </w:p>
    <w:p>
      <w:pPr>
        <w:pStyle w:val="10"/>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产品安装调试完成后,20个工作日内，以招标文件及合同为标准进行验收。</w:t>
      </w:r>
    </w:p>
    <w:p>
      <w:pPr>
        <w:spacing w:line="540" w:lineRule="exact"/>
        <w:jc w:val="left"/>
        <w:rPr>
          <w:rFonts w:hint="eastAsia" w:ascii="宋体" w:hAnsi="宋体" w:eastAsia="宋体" w:cs="宋体"/>
          <w:b/>
          <w:sz w:val="24"/>
        </w:rPr>
      </w:pPr>
      <w:r>
        <w:rPr>
          <w:rFonts w:hint="eastAsia" w:ascii="宋体" w:hAnsi="宋体" w:eastAsia="宋体" w:cs="宋体"/>
          <w:b/>
          <w:sz w:val="24"/>
        </w:rPr>
        <w:t>七</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sz w:val="24"/>
        </w:rPr>
        <w:t>付款方式</w:t>
      </w:r>
    </w:p>
    <w:p>
      <w:pPr>
        <w:pStyle w:val="10"/>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设备到货并安装、调试完成,经甲方验收合格后，乙方出具正规全额发票给甲方，甲方</w:t>
      </w:r>
      <w:r>
        <w:rPr>
          <w:rFonts w:hint="eastAsia" w:ascii="宋体" w:hAnsi="宋体" w:eastAsia="宋体" w:cs="宋体"/>
          <w:color w:val="000000" w:themeColor="text1"/>
          <w:sz w:val="24"/>
          <w14:textFill>
            <w14:solidFill>
              <w14:schemeClr w14:val="tx1"/>
            </w14:solidFill>
          </w14:textFill>
        </w:rPr>
        <w:t xml:space="preserve">支付合同总金额的95%，即 </w:t>
      </w:r>
      <w:permStart w:id="11" w:edGrp="everyone"/>
      <w:r>
        <w:rPr>
          <w:rFonts w:hint="eastAsia" w:ascii="宋体" w:hAnsi="宋体" w:eastAsia="宋体" w:cs="宋体"/>
          <w:color w:val="000000" w:themeColor="text1"/>
          <w:sz w:val="24"/>
          <w:shd w:val="pct10" w:color="auto" w:fill="FFFFFF"/>
          <w14:textFill>
            <w14:solidFill>
              <w14:schemeClr w14:val="tx1"/>
            </w14:solidFill>
          </w14:textFill>
        </w:rPr>
        <w:t>________</w:t>
      </w:r>
      <w:permEnd w:id="11"/>
      <w:r>
        <w:rPr>
          <w:rFonts w:hint="eastAsia" w:ascii="宋体" w:hAnsi="宋体" w:eastAsia="宋体" w:cs="宋体"/>
          <w:color w:val="000000" w:themeColor="text1"/>
          <w:sz w:val="24"/>
          <w14:textFill>
            <w14:solidFill>
              <w14:schemeClr w14:val="tx1"/>
            </w14:solidFill>
          </w14:textFill>
        </w:rPr>
        <w:t xml:space="preserve">元。剩余合同总金额的5%，即 </w:t>
      </w:r>
      <w:permStart w:id="12" w:edGrp="everyone"/>
      <w:r>
        <w:rPr>
          <w:rFonts w:hint="eastAsia" w:ascii="宋体" w:hAnsi="宋体" w:eastAsia="宋体" w:cs="宋体"/>
          <w:color w:val="000000" w:themeColor="text1"/>
          <w:sz w:val="24"/>
          <w:shd w:val="pct10" w:color="auto" w:fill="FFFFFF"/>
          <w14:textFill>
            <w14:solidFill>
              <w14:schemeClr w14:val="tx1"/>
            </w14:solidFill>
          </w14:textFill>
        </w:rPr>
        <w:t>________</w:t>
      </w:r>
      <w:permEnd w:id="12"/>
      <w:r>
        <w:rPr>
          <w:rFonts w:hint="eastAsia" w:ascii="宋体" w:hAnsi="宋体" w:eastAsia="宋体" w:cs="宋体"/>
          <w:color w:val="000000" w:themeColor="text1"/>
          <w:sz w:val="24"/>
          <w14:textFill>
            <w14:solidFill>
              <w14:schemeClr w14:val="tx1"/>
            </w14:solidFill>
          </w14:textFill>
        </w:rPr>
        <w:t>元，作为质量保证金，自甲方验收合格之日起使用满一年，无任何质量问题，乙方提出书面申请，甲方向乙方无息支付。</w:t>
      </w:r>
    </w:p>
    <w:p>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八、质量保证及售后服务</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乙方所提供产品，必须符合国家有关规定和环保标准。</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乙方应按照招标文件规定的产品性能、技术要求、质量标准向甲方提供未经使用的全新产品。</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乙方提供的产品在质保期内因产品本身的质量问题发生故障，乙方应负责免费维修或更换。</w:t>
      </w:r>
    </w:p>
    <w:p>
      <w:pPr>
        <w:pStyle w:val="10"/>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 质保期内该产品若出现质量问题，乙方提供免费上门服务，要求在接到通知后_</w:t>
      </w:r>
      <w:r>
        <w:rPr>
          <w:rFonts w:hint="eastAsia" w:ascii="宋体" w:hAnsi="宋体" w:eastAsia="宋体" w:cs="宋体"/>
          <w:color w:val="000000" w:themeColor="text1"/>
          <w:sz w:val="24"/>
          <w:u w:val="single"/>
          <w14:textFill>
            <w14:solidFill>
              <w14:schemeClr w14:val="tx1"/>
            </w14:solidFill>
          </w14:textFill>
        </w:rPr>
        <w:t>_2_</w:t>
      </w:r>
      <w:r>
        <w:rPr>
          <w:rFonts w:hint="eastAsia" w:ascii="宋体" w:hAnsi="宋体" w:eastAsia="宋体" w:cs="宋体"/>
          <w:color w:val="000000" w:themeColor="text1"/>
          <w:sz w:val="24"/>
          <w14:textFill>
            <w14:solidFill>
              <w14:schemeClr w14:val="tx1"/>
            </w14:solidFill>
          </w14:textFill>
        </w:rPr>
        <w:t>_小时内响应，_</w:t>
      </w:r>
      <w:r>
        <w:rPr>
          <w:rFonts w:hint="eastAsia" w:ascii="宋体" w:hAnsi="宋体" w:eastAsia="宋体" w:cs="宋体"/>
          <w:color w:val="000000" w:themeColor="text1"/>
          <w:sz w:val="24"/>
          <w:u w:val="single"/>
          <w14:textFill>
            <w14:solidFill>
              <w14:schemeClr w14:val="tx1"/>
            </w14:solidFill>
          </w14:textFill>
        </w:rPr>
        <w:t>_24_</w:t>
      </w:r>
      <w:r>
        <w:rPr>
          <w:rFonts w:hint="eastAsia" w:ascii="宋体" w:hAnsi="宋体" w:eastAsia="宋体" w:cs="宋体"/>
          <w:color w:val="000000" w:themeColor="text1"/>
          <w:sz w:val="24"/>
          <w14:textFill>
            <w14:solidFill>
              <w14:schemeClr w14:val="tx1"/>
            </w14:solidFill>
          </w14:textFill>
        </w:rPr>
        <w:t>_小时到现场。质保期满后，如需乙方到现场维修，乙方仅收取成本费。</w:t>
      </w:r>
    </w:p>
    <w:p>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九、违约责任：</w:t>
      </w:r>
    </w:p>
    <w:p>
      <w:pPr>
        <w:spacing w:line="540" w:lineRule="exact"/>
        <w:ind w:firstLine="480" w:firstLineChars="200"/>
        <w:jc w:val="left"/>
        <w:rPr>
          <w:rFonts w:hint="eastAsia" w:ascii="宋体" w:hAnsi="宋体" w:eastAsia="宋体" w:cs="宋体"/>
          <w:sz w:val="24"/>
        </w:rPr>
      </w:pPr>
      <w:r>
        <w:rPr>
          <w:rFonts w:hint="eastAsia" w:ascii="宋体" w:hAnsi="宋体" w:eastAsia="宋体" w:cs="宋体"/>
          <w:sz w:val="24"/>
        </w:rPr>
        <w:t>1. 甲乙双方必须严格履行合同。乙方如不能按合同履约，甲方有权终止合同，由此造成的损失由乙方承担。</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2. 乙方因故需要延迟交货的，应提前向甲方提交书面说明，并取得甲方同意，若未征得甲方同意，</w:t>
      </w:r>
      <w:r>
        <w:rPr>
          <w:rFonts w:hint="eastAsia" w:ascii="宋体" w:hAnsi="宋体" w:eastAsia="宋体" w:cs="宋体"/>
          <w:color w:val="000000" w:themeColor="text1"/>
          <w:sz w:val="24"/>
          <w14:textFill>
            <w14:solidFill>
              <w14:schemeClr w14:val="tx1"/>
            </w14:solidFill>
          </w14:textFill>
        </w:rPr>
        <w:t>每延迟一天，则应按照合同总金额的千分之一向甲方支付违约金。</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因不可抗力或国家法律、法规或其他相关文件变更造成违约的，违约方不承担责任。</w:t>
      </w:r>
    </w:p>
    <w:p>
      <w:pPr>
        <w:spacing w:line="540" w:lineRule="atLeast"/>
        <w:ind w:left="426" w:hanging="425" w:hangingChars="177"/>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十、其他事项及未尽事宜</w:t>
      </w:r>
    </w:p>
    <w:p>
      <w:pPr>
        <w:spacing w:line="540" w:lineRule="atLeast"/>
        <w:ind w:left="1"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合同内容变更或补充，双方签署补充协议，补充协议与本合同具有相同法律效力；合同执行中发生争议，双方协商解决，协商不成，依法向合同履行地人民法院提起诉讼。</w:t>
      </w:r>
    </w:p>
    <w:p>
      <w:pPr>
        <w:spacing w:line="540" w:lineRule="atLeas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十一、合同生效</w:t>
      </w:r>
    </w:p>
    <w:p>
      <w:pPr>
        <w:pStyle w:val="10"/>
        <w:spacing w:line="540" w:lineRule="atLeast"/>
        <w:ind w:left="480" w:firstLine="0"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本合同甲乙双方签字盖章后生效。合同一式六份，甲方五份，乙方一份。</w:t>
      </w:r>
    </w:p>
    <w:p>
      <w:pPr>
        <w:spacing w:line="540" w:lineRule="atLeast"/>
        <w:ind w:left="480" w:hanging="480" w:hangingChars="200"/>
        <w:jc w:val="left"/>
        <w:rPr>
          <w:rFonts w:hint="eastAsia" w:ascii="宋体" w:hAnsi="宋体" w:eastAsia="宋体" w:cs="宋体"/>
          <w:color w:val="000000" w:themeColor="text1"/>
          <w:sz w:val="24"/>
          <w14:textFill>
            <w14:solidFill>
              <w14:schemeClr w14:val="tx1"/>
            </w14:solidFill>
          </w14:textFill>
        </w:rPr>
      </w:pPr>
    </w:p>
    <w:tbl>
      <w:tblPr>
        <w:tblStyle w:val="5"/>
        <w:tblW w:w="9322" w:type="dxa"/>
        <w:tblInd w:w="0" w:type="dxa"/>
        <w:tblLayout w:type="fixed"/>
        <w:tblCellMar>
          <w:top w:w="0" w:type="dxa"/>
          <w:left w:w="108" w:type="dxa"/>
          <w:bottom w:w="0" w:type="dxa"/>
          <w:right w:w="108" w:type="dxa"/>
        </w:tblCellMar>
      </w:tblPr>
      <w:tblGrid>
        <w:gridCol w:w="4361"/>
        <w:gridCol w:w="4961"/>
      </w:tblGrid>
      <w:tr>
        <w:trPr>
          <w:trHeight w:val="763" w:hRule="atLeast"/>
        </w:trPr>
        <w:tc>
          <w:tcPr>
            <w:tcW w:w="4361" w:type="dxa"/>
          </w:tcPr>
          <w:p>
            <w:pPr>
              <w:spacing w:line="360" w:lineRule="auto"/>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lang w:eastAsia="zh-CN"/>
              </w:rPr>
              <w:t>珠海科技学院</w:t>
            </w:r>
            <w:r>
              <w:rPr>
                <w:rFonts w:hint="eastAsia" w:ascii="宋体" w:hAnsi="宋体" w:eastAsia="宋体" w:cs="宋体"/>
                <w:sz w:val="24"/>
              </w:rPr>
              <w:t>（</w:t>
            </w:r>
            <w:r>
              <w:rPr>
                <w:rFonts w:hint="eastAsia" w:ascii="宋体" w:hAnsi="宋体" w:eastAsia="宋体" w:cs="宋体"/>
                <w:sz w:val="24"/>
                <w:lang w:eastAsia="zh-CN"/>
              </w:rPr>
              <w:t>盖章</w:t>
            </w:r>
            <w:r>
              <w:rPr>
                <w:rFonts w:hint="eastAsia" w:ascii="宋体" w:hAnsi="宋体" w:eastAsia="宋体" w:cs="宋体"/>
                <w:sz w:val="24"/>
              </w:rPr>
              <w:t>）</w:t>
            </w:r>
          </w:p>
        </w:tc>
        <w:tc>
          <w:tcPr>
            <w:tcW w:w="4961" w:type="dxa"/>
          </w:tcPr>
          <w:p>
            <w:pPr>
              <w:spacing w:line="360" w:lineRule="auto"/>
              <w:rPr>
                <w:rFonts w:hint="eastAsia" w:ascii="宋体" w:hAnsi="宋体" w:eastAsia="宋体" w:cs="宋体"/>
                <w:sz w:val="24"/>
              </w:rPr>
            </w:pPr>
            <w:r>
              <w:rPr>
                <w:rFonts w:hint="eastAsia" w:ascii="宋体" w:hAnsi="宋体" w:eastAsia="宋体" w:cs="宋体"/>
                <w:sz w:val="24"/>
              </w:rPr>
              <w:t>乙方：</w:t>
            </w:r>
            <w:permStart w:id="13" w:edGrp="everyone"/>
            <w:bookmarkStart w:id="3" w:name="yfdw1"/>
            <w:bookmarkEnd w:id="3"/>
            <w:r>
              <w:rPr>
                <w:rFonts w:hint="eastAsia" w:ascii="宋体" w:hAnsi="宋体" w:eastAsia="宋体" w:cs="宋体"/>
                <w:sz w:val="24"/>
                <w:shd w:val="pct10" w:color="auto" w:fill="FFFFFF"/>
              </w:rPr>
              <w:t>***************</w:t>
            </w:r>
            <w:permEnd w:id="13"/>
            <w:r>
              <w:rPr>
                <w:rFonts w:hint="eastAsia" w:ascii="宋体" w:hAnsi="宋体" w:eastAsia="宋体" w:cs="宋体"/>
                <w:sz w:val="24"/>
              </w:rPr>
              <w:t>（盖章）</w:t>
            </w:r>
          </w:p>
        </w:tc>
      </w:tr>
      <w:tr>
        <w:trPr>
          <w:trHeight w:val="552" w:hRule="atLeast"/>
        </w:trPr>
        <w:tc>
          <w:tcPr>
            <w:tcW w:w="4361" w:type="dxa"/>
          </w:tcPr>
          <w:p>
            <w:pPr>
              <w:spacing w:line="360" w:lineRule="auto"/>
              <w:rPr>
                <w:rFonts w:hint="eastAsia" w:ascii="宋体" w:hAnsi="宋体" w:eastAsia="宋体" w:cs="宋体"/>
                <w:b/>
                <w:sz w:val="24"/>
              </w:rPr>
            </w:pPr>
            <w:r>
              <w:rPr>
                <w:rFonts w:hint="eastAsia" w:ascii="宋体" w:hAnsi="宋体" w:eastAsia="宋体" w:cs="宋体"/>
                <w:sz w:val="24"/>
              </w:rPr>
              <w:t>签约代表签字：</w:t>
            </w:r>
          </w:p>
        </w:tc>
        <w:tc>
          <w:tcPr>
            <w:tcW w:w="4961" w:type="dxa"/>
          </w:tcPr>
          <w:p>
            <w:pPr>
              <w:spacing w:line="360" w:lineRule="auto"/>
              <w:rPr>
                <w:rFonts w:hint="eastAsia" w:ascii="宋体" w:hAnsi="宋体" w:eastAsia="宋体" w:cs="宋体"/>
                <w:sz w:val="24"/>
              </w:rPr>
            </w:pPr>
            <w:r>
              <w:rPr>
                <w:rFonts w:hint="eastAsia" w:ascii="宋体" w:hAnsi="宋体" w:eastAsia="宋体" w:cs="宋体"/>
                <w:sz w:val="24"/>
              </w:rPr>
              <w:t>签约代表签字：</w:t>
            </w:r>
          </w:p>
        </w:tc>
      </w:tr>
      <w:tr>
        <w:trPr>
          <w:trHeight w:val="552" w:hRule="atLeast"/>
        </w:trPr>
        <w:tc>
          <w:tcPr>
            <w:tcW w:w="4361" w:type="dxa"/>
          </w:tcPr>
          <w:p>
            <w:pPr>
              <w:spacing w:line="360" w:lineRule="auto"/>
              <w:rPr>
                <w:rFonts w:hint="eastAsia" w:ascii="宋体" w:hAnsi="宋体" w:eastAsia="宋体" w:cs="宋体"/>
                <w:sz w:val="24"/>
              </w:rPr>
            </w:pPr>
            <w:r>
              <w:rPr>
                <w:rFonts w:hint="eastAsia" w:ascii="宋体" w:hAnsi="宋体" w:eastAsia="宋体" w:cs="宋体"/>
                <w:sz w:val="24"/>
              </w:rPr>
              <w:t>地址：珠海市金湾区三灶镇草堂</w:t>
            </w:r>
          </w:p>
        </w:tc>
        <w:tc>
          <w:tcPr>
            <w:tcW w:w="4961" w:type="dxa"/>
          </w:tcPr>
          <w:p>
            <w:pPr>
              <w:spacing w:line="360" w:lineRule="auto"/>
              <w:rPr>
                <w:rFonts w:hint="eastAsia" w:ascii="宋体" w:hAnsi="宋体" w:eastAsia="宋体" w:cs="宋体"/>
                <w:b/>
                <w:sz w:val="24"/>
              </w:rPr>
            </w:pPr>
            <w:r>
              <w:rPr>
                <w:rFonts w:hint="eastAsia" w:ascii="宋体" w:hAnsi="宋体" w:eastAsia="宋体" w:cs="宋体"/>
                <w:sz w:val="24"/>
              </w:rPr>
              <w:t>地址：</w:t>
            </w:r>
            <w:bookmarkStart w:id="4" w:name="yfyh"/>
            <w:bookmarkEnd w:id="4"/>
            <w:permStart w:id="14" w:edGrp="everyone"/>
            <w:r>
              <w:rPr>
                <w:rFonts w:hint="eastAsia" w:ascii="宋体" w:hAnsi="宋体" w:eastAsia="宋体" w:cs="宋体"/>
                <w:sz w:val="24"/>
                <w:shd w:val="pct10" w:color="auto" w:fill="FFFFFF"/>
              </w:rPr>
              <w:t>***************</w:t>
            </w:r>
            <w:permEnd w:id="14"/>
          </w:p>
        </w:tc>
      </w:tr>
      <w:tr>
        <w:trPr>
          <w:trHeight w:val="552" w:hRule="atLeast"/>
        </w:trPr>
        <w:tc>
          <w:tcPr>
            <w:tcW w:w="4361" w:type="dxa"/>
          </w:tcPr>
          <w:p>
            <w:pPr>
              <w:spacing w:line="360" w:lineRule="auto"/>
              <w:rPr>
                <w:rFonts w:hint="eastAsia" w:ascii="宋体" w:hAnsi="宋体" w:eastAsia="宋体" w:cs="宋体"/>
                <w:sz w:val="24"/>
              </w:rPr>
            </w:pPr>
            <w:r>
              <w:rPr>
                <w:rFonts w:hint="eastAsia" w:ascii="宋体" w:hAnsi="宋体" w:eastAsia="宋体" w:cs="宋体"/>
                <w:sz w:val="24"/>
              </w:rPr>
              <w:t>电话：</w:t>
            </w:r>
          </w:p>
        </w:tc>
        <w:tc>
          <w:tcPr>
            <w:tcW w:w="4961" w:type="dxa"/>
          </w:tcPr>
          <w:p>
            <w:pPr>
              <w:spacing w:line="360" w:lineRule="auto"/>
              <w:rPr>
                <w:rFonts w:hint="eastAsia" w:ascii="宋体" w:hAnsi="宋体" w:eastAsia="宋体" w:cs="宋体"/>
                <w:sz w:val="24"/>
              </w:rPr>
            </w:pPr>
            <w:bookmarkStart w:id="5" w:name="yfzh"/>
            <w:bookmarkEnd w:id="5"/>
            <w:r>
              <w:rPr>
                <w:rFonts w:hint="eastAsia" w:ascii="宋体" w:hAnsi="宋体" w:eastAsia="宋体" w:cs="宋体"/>
                <w:sz w:val="24"/>
              </w:rPr>
              <w:t>电话：</w:t>
            </w:r>
            <w:permStart w:id="15" w:edGrp="everyone"/>
            <w:permEnd w:id="15"/>
          </w:p>
        </w:tc>
      </w:tr>
      <w:tr>
        <w:trPr>
          <w:trHeight w:val="552" w:hRule="atLeast"/>
        </w:trPr>
        <w:tc>
          <w:tcPr>
            <w:tcW w:w="4361" w:type="dxa"/>
          </w:tcPr>
          <w:p>
            <w:pPr>
              <w:spacing w:line="360" w:lineRule="auto"/>
              <w:rPr>
                <w:rFonts w:hint="eastAsia" w:ascii="宋体" w:hAnsi="宋体" w:eastAsia="宋体" w:cs="宋体"/>
                <w:sz w:val="24"/>
              </w:rPr>
            </w:pPr>
            <w:r>
              <w:rPr>
                <w:rFonts w:hint="eastAsia" w:ascii="宋体" w:hAnsi="宋体" w:eastAsia="宋体" w:cs="宋体"/>
                <w:sz w:val="24"/>
              </w:rPr>
              <w:t>邮编：519000</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tc>
        <w:tc>
          <w:tcPr>
            <w:tcW w:w="4961" w:type="dxa"/>
          </w:tcPr>
          <w:p>
            <w:pPr>
              <w:spacing w:line="360" w:lineRule="auto"/>
              <w:rPr>
                <w:rFonts w:hint="eastAsia" w:ascii="宋体" w:hAnsi="宋体" w:eastAsia="宋体" w:cs="宋体"/>
                <w:sz w:val="24"/>
              </w:rPr>
            </w:pPr>
            <w:r>
              <w:rPr>
                <w:rFonts w:hint="eastAsia" w:ascii="宋体" w:hAnsi="宋体" w:eastAsia="宋体" w:cs="宋体"/>
                <w:sz w:val="24"/>
              </w:rPr>
              <w:t>邮编：</w:t>
            </w:r>
            <w:permStart w:id="16" w:edGrp="everyone"/>
            <w:permEnd w:id="16"/>
          </w:p>
          <w:p>
            <w:pPr>
              <w:spacing w:line="360" w:lineRule="auto"/>
              <w:rPr>
                <w:rFonts w:hint="eastAsia" w:ascii="宋体" w:hAnsi="宋体" w:eastAsia="宋体" w:cs="宋体"/>
                <w:sz w:val="24"/>
              </w:rPr>
            </w:pPr>
            <w:r>
              <w:rPr>
                <w:rFonts w:hint="eastAsia" w:ascii="宋体" w:hAnsi="宋体" w:eastAsia="宋体" w:cs="宋体"/>
                <w:sz w:val="24"/>
              </w:rPr>
              <w:t>开户行：</w:t>
            </w:r>
            <w:permStart w:id="17" w:edGrp="everyone"/>
            <w:permEnd w:id="17"/>
          </w:p>
          <w:p>
            <w:pPr>
              <w:spacing w:line="360" w:lineRule="auto"/>
              <w:rPr>
                <w:rFonts w:hint="eastAsia" w:ascii="宋体" w:hAnsi="宋体" w:eastAsia="宋体" w:cs="宋体"/>
                <w:sz w:val="24"/>
              </w:rPr>
            </w:pPr>
            <w:r>
              <w:rPr>
                <w:rFonts w:hint="eastAsia" w:ascii="宋体" w:hAnsi="宋体" w:eastAsia="宋体" w:cs="宋体"/>
                <w:sz w:val="24"/>
              </w:rPr>
              <w:t>账号：</w:t>
            </w:r>
            <w:permStart w:id="18" w:edGrp="everyone"/>
            <w:permEnd w:id="18"/>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tc>
      </w:tr>
    </w:tbl>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ermStart w:id="19" w:edGrp="everyone"/>
    </w:p>
    <w:p>
      <w:pPr>
        <w:rPr>
          <w:rFonts w:hint="eastAsia" w:ascii="宋体" w:hAnsi="宋体" w:eastAsia="宋体" w:cs="宋体"/>
          <w:sz w:val="24"/>
        </w:rPr>
      </w:pPr>
      <w:r>
        <w:rPr>
          <w:rFonts w:hint="eastAsia" w:ascii="宋体" w:hAnsi="宋体" w:eastAsia="宋体" w:cs="宋体"/>
          <w:sz w:val="24"/>
        </w:rPr>
        <w:t>附件</w:t>
      </w: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配置清单及技术参数：</w:t>
      </w: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560"/>
        <w:gridCol w:w="4677"/>
        <w:gridCol w:w="1701"/>
      </w:tblGrid>
      <w:tr>
        <w:tc>
          <w:tcPr>
            <w:tcW w:w="675" w:type="dxa"/>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560" w:type="dxa"/>
            <w:vAlign w:val="center"/>
          </w:tcPr>
          <w:p>
            <w:pPr>
              <w:jc w:val="center"/>
              <w:rPr>
                <w:rFonts w:hint="eastAsia" w:ascii="宋体" w:hAnsi="宋体" w:eastAsia="宋体" w:cs="宋体"/>
                <w:sz w:val="24"/>
              </w:rPr>
            </w:pPr>
            <w:r>
              <w:rPr>
                <w:rFonts w:hint="eastAsia" w:ascii="宋体" w:hAnsi="宋体" w:eastAsia="宋体" w:cs="宋体"/>
                <w:sz w:val="24"/>
              </w:rPr>
              <w:t>名称</w:t>
            </w:r>
          </w:p>
        </w:tc>
        <w:tc>
          <w:tcPr>
            <w:tcW w:w="4677" w:type="dxa"/>
            <w:vAlign w:val="center"/>
          </w:tcPr>
          <w:p>
            <w:pPr>
              <w:jc w:val="center"/>
              <w:rPr>
                <w:rFonts w:hint="eastAsia" w:ascii="宋体" w:hAnsi="宋体" w:eastAsia="宋体" w:cs="宋体"/>
                <w:sz w:val="24"/>
              </w:rPr>
            </w:pPr>
            <w:r>
              <w:rPr>
                <w:rFonts w:hint="eastAsia" w:ascii="宋体" w:hAnsi="宋体" w:eastAsia="宋体" w:cs="宋体"/>
                <w:sz w:val="24"/>
              </w:rPr>
              <w:t>技术参数</w:t>
            </w:r>
          </w:p>
        </w:tc>
        <w:tc>
          <w:tcPr>
            <w:tcW w:w="1701" w:type="dxa"/>
            <w:vAlign w:val="center"/>
          </w:tcPr>
          <w:p>
            <w:pPr>
              <w:jc w:val="center"/>
              <w:rPr>
                <w:rFonts w:hint="eastAsia" w:ascii="宋体" w:hAnsi="宋体" w:eastAsia="宋体" w:cs="宋体"/>
                <w:sz w:val="24"/>
              </w:rPr>
            </w:pPr>
            <w:r>
              <w:rPr>
                <w:rFonts w:hint="eastAsia" w:ascii="宋体" w:hAnsi="宋体" w:eastAsia="宋体" w:cs="宋体"/>
                <w:sz w:val="24"/>
              </w:rPr>
              <w:t>备注</w:t>
            </w:r>
          </w:p>
        </w:tc>
      </w:tr>
      <w:tr>
        <w:tc>
          <w:tcPr>
            <w:tcW w:w="675" w:type="dxa"/>
            <w:vAlign w:val="center"/>
          </w:tcPr>
          <w:p>
            <w:pPr>
              <w:jc w:val="center"/>
              <w:rPr>
                <w:rFonts w:hint="eastAsia" w:ascii="宋体" w:hAnsi="宋体" w:eastAsia="宋体" w:cs="宋体"/>
                <w:sz w:val="24"/>
              </w:rPr>
            </w:pPr>
          </w:p>
        </w:tc>
        <w:tc>
          <w:tcPr>
            <w:tcW w:w="1560" w:type="dxa"/>
            <w:vAlign w:val="center"/>
          </w:tcPr>
          <w:p>
            <w:pPr>
              <w:jc w:val="center"/>
              <w:rPr>
                <w:rFonts w:hint="eastAsia" w:ascii="宋体" w:hAnsi="宋体" w:eastAsia="宋体" w:cs="宋体"/>
                <w:sz w:val="24"/>
              </w:rPr>
            </w:pPr>
          </w:p>
        </w:tc>
        <w:tc>
          <w:tcPr>
            <w:tcW w:w="4677" w:type="dxa"/>
          </w:tcPr>
          <w:p>
            <w:pPr>
              <w:ind w:left="960" w:hanging="960" w:hangingChars="400"/>
              <w:rPr>
                <w:rFonts w:hint="eastAsia" w:ascii="宋体" w:hAnsi="宋体" w:eastAsia="宋体" w:cs="宋体"/>
                <w:sz w:val="24"/>
              </w:rPr>
            </w:pPr>
          </w:p>
        </w:tc>
        <w:tc>
          <w:tcPr>
            <w:tcW w:w="1701" w:type="dxa"/>
          </w:tcPr>
          <w:p>
            <w:pPr>
              <w:rPr>
                <w:rFonts w:hint="eastAsia" w:ascii="宋体" w:hAnsi="宋体" w:eastAsia="宋体" w:cs="宋体"/>
                <w:sz w:val="24"/>
              </w:rPr>
            </w:pPr>
          </w:p>
        </w:tc>
      </w:tr>
      <w:tr>
        <w:tc>
          <w:tcPr>
            <w:tcW w:w="675" w:type="dxa"/>
            <w:vAlign w:val="center"/>
          </w:tcPr>
          <w:p>
            <w:pPr>
              <w:jc w:val="center"/>
              <w:rPr>
                <w:rFonts w:hint="eastAsia" w:ascii="宋体" w:hAnsi="宋体" w:eastAsia="宋体" w:cs="宋体"/>
                <w:sz w:val="24"/>
              </w:rPr>
            </w:pPr>
          </w:p>
        </w:tc>
        <w:tc>
          <w:tcPr>
            <w:tcW w:w="1560" w:type="dxa"/>
            <w:vAlign w:val="center"/>
          </w:tcPr>
          <w:p>
            <w:pPr>
              <w:jc w:val="center"/>
              <w:rPr>
                <w:rFonts w:hint="eastAsia" w:ascii="宋体" w:hAnsi="宋体" w:eastAsia="宋体" w:cs="宋体"/>
                <w:sz w:val="24"/>
              </w:rPr>
            </w:pPr>
          </w:p>
        </w:tc>
        <w:tc>
          <w:tcPr>
            <w:tcW w:w="4677" w:type="dxa"/>
          </w:tcPr>
          <w:p>
            <w:pPr>
              <w:ind w:left="960" w:hanging="960" w:hangingChars="400"/>
              <w:rPr>
                <w:rFonts w:hint="eastAsia" w:ascii="宋体" w:hAnsi="宋体" w:eastAsia="宋体" w:cs="宋体"/>
                <w:sz w:val="24"/>
              </w:rPr>
            </w:pPr>
          </w:p>
        </w:tc>
        <w:tc>
          <w:tcPr>
            <w:tcW w:w="1701" w:type="dxa"/>
          </w:tcPr>
          <w:p>
            <w:pPr>
              <w:rPr>
                <w:rFonts w:hint="eastAsia" w:ascii="宋体" w:hAnsi="宋体" w:eastAsia="宋体" w:cs="宋体"/>
                <w:sz w:val="24"/>
              </w:rPr>
            </w:pPr>
          </w:p>
        </w:tc>
      </w:tr>
      <w:tr>
        <w:tc>
          <w:tcPr>
            <w:tcW w:w="675" w:type="dxa"/>
            <w:vAlign w:val="center"/>
          </w:tcPr>
          <w:p>
            <w:pPr>
              <w:jc w:val="center"/>
              <w:rPr>
                <w:rFonts w:hint="eastAsia" w:ascii="宋体" w:hAnsi="宋体" w:eastAsia="宋体" w:cs="宋体"/>
                <w:sz w:val="24"/>
              </w:rPr>
            </w:pPr>
          </w:p>
        </w:tc>
        <w:tc>
          <w:tcPr>
            <w:tcW w:w="1560" w:type="dxa"/>
            <w:vAlign w:val="center"/>
          </w:tcPr>
          <w:p>
            <w:pPr>
              <w:jc w:val="center"/>
              <w:rPr>
                <w:rFonts w:hint="eastAsia" w:ascii="宋体" w:hAnsi="宋体" w:eastAsia="宋体" w:cs="宋体"/>
                <w:sz w:val="24"/>
              </w:rPr>
            </w:pPr>
          </w:p>
        </w:tc>
        <w:tc>
          <w:tcPr>
            <w:tcW w:w="4677" w:type="dxa"/>
          </w:tcPr>
          <w:p>
            <w:pPr>
              <w:ind w:left="960" w:hanging="960" w:hangingChars="400"/>
              <w:rPr>
                <w:rFonts w:hint="eastAsia" w:ascii="宋体" w:hAnsi="宋体" w:eastAsia="宋体" w:cs="宋体"/>
                <w:sz w:val="24"/>
              </w:rPr>
            </w:pPr>
          </w:p>
        </w:tc>
        <w:tc>
          <w:tcPr>
            <w:tcW w:w="1701" w:type="dxa"/>
          </w:tcPr>
          <w:p>
            <w:pPr>
              <w:rPr>
                <w:rFonts w:hint="eastAsia" w:ascii="宋体" w:hAnsi="宋体" w:eastAsia="宋体" w:cs="宋体"/>
                <w:sz w:val="24"/>
              </w:rPr>
            </w:pPr>
          </w:p>
        </w:tc>
      </w:tr>
      <w:tr>
        <w:tc>
          <w:tcPr>
            <w:tcW w:w="675" w:type="dxa"/>
            <w:vAlign w:val="center"/>
          </w:tcPr>
          <w:p>
            <w:pPr>
              <w:jc w:val="center"/>
              <w:rPr>
                <w:rFonts w:hint="eastAsia" w:ascii="宋体" w:hAnsi="宋体" w:eastAsia="宋体" w:cs="宋体"/>
                <w:sz w:val="24"/>
              </w:rPr>
            </w:pPr>
          </w:p>
        </w:tc>
        <w:tc>
          <w:tcPr>
            <w:tcW w:w="1560" w:type="dxa"/>
            <w:vAlign w:val="center"/>
          </w:tcPr>
          <w:p>
            <w:pPr>
              <w:jc w:val="center"/>
              <w:rPr>
                <w:rFonts w:hint="eastAsia" w:ascii="宋体" w:hAnsi="宋体" w:eastAsia="宋体" w:cs="宋体"/>
                <w:sz w:val="24"/>
              </w:rPr>
            </w:pPr>
          </w:p>
        </w:tc>
        <w:tc>
          <w:tcPr>
            <w:tcW w:w="4677" w:type="dxa"/>
          </w:tcPr>
          <w:p>
            <w:pPr>
              <w:rPr>
                <w:rFonts w:hint="eastAsia" w:ascii="宋体" w:hAnsi="宋体" w:eastAsia="宋体" w:cs="宋体"/>
                <w:sz w:val="24"/>
              </w:rPr>
            </w:pPr>
          </w:p>
        </w:tc>
        <w:tc>
          <w:tcPr>
            <w:tcW w:w="1701" w:type="dxa"/>
          </w:tcPr>
          <w:p>
            <w:pPr>
              <w:rPr>
                <w:rFonts w:hint="eastAsia" w:ascii="宋体" w:hAnsi="宋体" w:eastAsia="宋体" w:cs="宋体"/>
                <w:sz w:val="24"/>
              </w:rPr>
            </w:pPr>
          </w:p>
        </w:tc>
      </w:tr>
    </w:tbl>
    <w:p>
      <w:pPr>
        <w:rPr>
          <w:rFonts w:hint="eastAsia" w:ascii="宋体" w:hAnsi="宋体" w:eastAsia="宋体" w:cs="宋体"/>
          <w:sz w:val="24"/>
        </w:rPr>
      </w:pPr>
    </w:p>
    <w:permEnd w:id="19"/>
    <w:p>
      <w:pPr>
        <w:rPr>
          <w:rFonts w:hint="eastAsia" w:ascii="宋体" w:hAnsi="宋体" w:eastAsia="宋体" w:cs="宋体"/>
          <w:b/>
          <w:sz w:val="28"/>
          <w:szCs w:val="28"/>
        </w:rPr>
      </w:pPr>
    </w:p>
    <w:p>
      <w:pPr>
        <w:numPr>
          <w:ilvl w:val="0"/>
          <w:numId w:val="0"/>
        </w:numPr>
        <w:ind w:firstLine="420" w:firstLineChars="0"/>
        <w:jc w:val="left"/>
        <w:rPr>
          <w:rFonts w:hint="eastAsia" w:ascii="仿宋" w:hAnsi="仿宋" w:eastAsia="仿宋"/>
          <w:b w:val="0"/>
          <w:bCs/>
          <w:sz w:val="18"/>
          <w:szCs w:val="18"/>
        </w:rPr>
      </w:pPr>
    </w:p>
    <w:sectPr>
      <w:pgSz w:w="11906" w:h="16838"/>
      <w:pgMar w:top="1100" w:right="1349" w:bottom="110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Wingdings 3">
    <w:panose1 w:val="05040102010807070707"/>
    <w:charset w:val="02"/>
    <w:family w:val="roman"/>
    <w:pitch w:val="default"/>
    <w:sig w:usb0="00000000" w:usb1="00000000" w:usb2="00000000" w:usb3="00000000" w:csb0="80000000" w:csb1="00000000"/>
  </w:font>
  <w:font w:name="华文宋体">
    <w:panose1 w:val="02010600040101010101"/>
    <w:charset w:val="86"/>
    <w:family w:val="auto"/>
    <w:pitch w:val="default"/>
    <w:sig w:usb0="80000287" w:usb1="280F3C52" w:usb2="00000016" w:usb3="00000000" w:csb0="0004001F" w:csb1="00000000"/>
  </w:font>
  <w:font w:name="仿宋">
    <w:altName w:val="方正仿宋_GBK"/>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49685E"/>
    <w:multiLevelType w:val="multilevel"/>
    <w:tmpl w:val="6949685E"/>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5YmQ0NTdjMWM5YjhlZDM3MGU2NzA1Yzg1ZDJmNWIifQ=="/>
  </w:docVars>
  <w:rsids>
    <w:rsidRoot w:val="00000000"/>
    <w:rsid w:val="0C9B4413"/>
    <w:rsid w:val="12F865F2"/>
    <w:rsid w:val="2248574C"/>
    <w:rsid w:val="27680964"/>
    <w:rsid w:val="384D38BC"/>
    <w:rsid w:val="3DAD6937"/>
    <w:rsid w:val="43EC2AC2"/>
    <w:rsid w:val="460D598E"/>
    <w:rsid w:val="55A31FD5"/>
    <w:rsid w:val="65811B4C"/>
    <w:rsid w:val="67BD4777"/>
    <w:rsid w:val="77EE3145"/>
    <w:rsid w:val="77F75099"/>
    <w:rsid w:val="79414CB1"/>
    <w:rsid w:val="79FE5C84"/>
    <w:rsid w:val="D15F8E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List Paragraph"/>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1445</Words>
  <Characters>1539</Characters>
  <Lines>8</Lines>
  <Paragraphs>2</Paragraphs>
  <TotalTime>4</TotalTime>
  <ScaleCrop>false</ScaleCrop>
  <LinksUpToDate>false</LinksUpToDate>
  <CharactersWithSpaces>1577</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2021-06-30T07:57:00Z</dcterms:created>
  <dc:creator>李 一男</dc:creator>
  <cp:lastModifiedBy>RzZ999</cp:lastModifiedBy>
  <cp:lastPrinted>2024-01-03T10:56:00Z</cp:lastPrinted>
  <dcterms:modified xsi:type="dcterms:W3CDTF">2024-05-21T09:40:16Z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DEB7FF0A16C30BD2DAF84B668F93B283_43</vt:lpwstr>
  </property>
</Properties>
</file>