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采购招标项目参数要求</w:t>
      </w:r>
    </w:p>
    <w:tbl>
      <w:tblPr>
        <w:tblStyle w:val="7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418"/>
        <w:gridCol w:w="1984"/>
        <w:gridCol w:w="141"/>
        <w:gridCol w:w="1986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</w:t>
            </w:r>
          </w:p>
        </w:tc>
        <w:tc>
          <w:tcPr>
            <w:tcW w:w="2125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流式细胞仪</w:t>
            </w:r>
          </w:p>
        </w:tc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采购编号</w:t>
            </w:r>
          </w:p>
        </w:tc>
        <w:tc>
          <w:tcPr>
            <w:tcW w:w="2205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CG20180620-257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供货时间</w:t>
            </w:r>
          </w:p>
        </w:tc>
        <w:tc>
          <w:tcPr>
            <w:tcW w:w="2125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018.9</w:t>
            </w:r>
          </w:p>
        </w:tc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供货地点</w:t>
            </w:r>
          </w:p>
        </w:tc>
        <w:tc>
          <w:tcPr>
            <w:tcW w:w="2205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实验楼108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售后服务要求</w:t>
            </w:r>
          </w:p>
        </w:tc>
        <w:tc>
          <w:tcPr>
            <w:tcW w:w="2125" w:type="dxa"/>
            <w:gridSpan w:val="2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1年质保</w:t>
            </w:r>
          </w:p>
        </w:tc>
        <w:tc>
          <w:tcPr>
            <w:tcW w:w="1986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安装调试要求</w:t>
            </w:r>
          </w:p>
        </w:tc>
        <w:tc>
          <w:tcPr>
            <w:tcW w:w="2205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工程师现场安装调试培训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项目概述：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贝克曼库尔特牌CytoFLEX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型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流式细胞仪。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重要技术指标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配置要求</w:t>
            </w:r>
          </w:p>
        </w:tc>
        <w:tc>
          <w:tcPr>
            <w:tcW w:w="6316" w:type="dxa"/>
            <w:gridSpan w:val="4"/>
          </w:tcPr>
          <w:p>
            <w:pPr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主机配有2根固态激光器，8参数（不少于6色荧光，SSC和FSC）。波长和功率： 488nm</w:t>
            </w:r>
            <w:r>
              <w:rPr>
                <w:lang w:val="en-US"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50mW、638nm</w:t>
            </w:r>
            <w:r>
              <w:rPr>
                <w:lang w:val="en-US"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50mW。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荧光灵敏度</w:t>
            </w:r>
          </w:p>
        </w:tc>
        <w:tc>
          <w:tcPr>
            <w:tcW w:w="6316" w:type="dxa"/>
            <w:gridSpan w:val="4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FITC≤30MESF，PE≤10MESF,要求提供英文官网链接及近日截屏图。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光信号收集系统</w:t>
            </w:r>
          </w:p>
        </w:tc>
        <w:tc>
          <w:tcPr>
            <w:tcW w:w="6316" w:type="dxa"/>
            <w:gridSpan w:val="4"/>
          </w:tcPr>
          <w:p>
            <w:pPr>
              <w:rPr>
                <w:sz w:val="21"/>
                <w:szCs w:val="21"/>
              </w:rPr>
            </w:pPr>
            <w:r>
              <w:rPr>
                <w:rFonts w:ascii="等线" w:hAnsi="等线"/>
                <w:sz w:val="21"/>
                <w:szCs w:val="21"/>
                <w:highlight w:val="none"/>
              </w:rPr>
              <w:t>NA值大于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1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.3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，流动室尺寸：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420μmx180μm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检测器</w:t>
            </w:r>
          </w:p>
        </w:tc>
        <w:tc>
          <w:tcPr>
            <w:tcW w:w="6316" w:type="dxa"/>
            <w:gridSpan w:val="4"/>
          </w:tcPr>
          <w:p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采用最先进的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FAPD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检测器，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能够达到5倍于传统高性能PMT的光电转换效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率，以提高灵敏度。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  <w:lang w:val="en-US" w:eastAsia="zh-CN"/>
              </w:rPr>
              <w:t>微球检测要求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8峰Rainbow微球检测结果：相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邻峰间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明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显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隔开，并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提供8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种不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同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荧光染料的实验检测图，要求峰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间（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峰</w:t>
            </w:r>
            <w:r>
              <w:rPr>
                <w:rFonts w:ascii="等线" w:hAnsi="等线"/>
                <w:sz w:val="21"/>
                <w:szCs w:val="21"/>
                <w:highlight w:val="none"/>
              </w:rPr>
              <w:t>谷）</w:t>
            </w: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Count为0。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侧向散射光分辨率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200nm。要求提供实验检测图。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上样系统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具有自动混匀和自动清洗功能，降低样本间交叉污染。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上样速度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hint="eastAsia" w:ascii="等线" w:hAnsi="等线"/>
                <w:sz w:val="21"/>
                <w:szCs w:val="21"/>
                <w:highlight w:val="none"/>
              </w:rPr>
            </w:pPr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预设高、中、低三档，用户亦可设定，范围：10ul/min至240ul/min。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最小上样量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底座样式</w:t>
            </w:r>
          </w:p>
        </w:tc>
        <w:tc>
          <w:tcPr>
            <w:tcW w:w="6316" w:type="dxa"/>
            <w:gridSpan w:val="4"/>
          </w:tcPr>
          <w:p>
            <w:r>
              <w:rPr>
                <w:rFonts w:hint="eastAsia" w:ascii="等线" w:hAnsi="等线"/>
                <w:sz w:val="21"/>
                <w:szCs w:val="21"/>
                <w:highlight w:val="none"/>
              </w:rPr>
              <w:t>开放式进样底座支持多种常用样本管，5 mL (12 x 75 mm) 的聚苯乙烯和聚丙烯样品试管，1.5 mL 和 2 mL 微型离心机样品试管。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补偿调节</w:t>
            </w:r>
          </w:p>
        </w:tc>
        <w:tc>
          <w:tcPr>
            <w:tcW w:w="6316" w:type="dxa"/>
            <w:gridSpan w:val="4"/>
          </w:tcPr>
          <w:p>
            <w:r>
              <w:rPr>
                <w:rFonts w:hint="eastAsia"/>
                <w:lang w:val="en-US" w:eastAsia="zh-CN"/>
              </w:rPr>
              <w:t>全矩阵荧光补偿，可脱机补偿，自动补偿。支持补偿库功能，可以存储多色实验中荧光染料的溢出值；在新的实验中，可以调用库中任一补偿值组合成新的补偿矩阵，不用再新建单标管上样调补偿。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>
            <w:r>
              <w:rPr>
                <w:rFonts w:hint="eastAsia"/>
              </w:rPr>
              <w:t>全自动质控程序</w:t>
            </w:r>
          </w:p>
        </w:tc>
        <w:tc>
          <w:tcPr>
            <w:tcW w:w="6316" w:type="dxa"/>
            <w:gridSpan w:val="4"/>
          </w:tcPr>
          <w:p>
            <w:r>
              <w:rPr>
                <w:rFonts w:hint="eastAsia"/>
              </w:rPr>
              <w:t>内置的质控程序自动检测仪器配置，激光器功率、激光延迟、每个通道的rCV值、增益值和平均荧光强度等。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配套电脑</w:t>
            </w:r>
          </w:p>
          <w:p>
            <w:r>
              <w:rPr>
                <w:rFonts w:hint="eastAsia"/>
              </w:rPr>
              <w:t>联想\dell</w:t>
            </w:r>
          </w:p>
        </w:tc>
        <w:tc>
          <w:tcPr>
            <w:tcW w:w="6316" w:type="dxa"/>
            <w:gridSpan w:val="4"/>
          </w:tcPr>
          <w:p>
            <w:r>
              <w:rPr>
                <w:rFonts w:hint="eastAsia"/>
              </w:rPr>
              <w:t>酷睿i5-7400处理器、 8G内存、 128G SSD+1T存储、 2G独显、 23英寸显示器、三年上门服务、正版win10及office软件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gridSpan w:val="6"/>
          </w:tcPr>
          <w:p>
            <w:pPr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一般技术指标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指标名称</w:t>
            </w: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参数明细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1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申报人</w:t>
            </w:r>
          </w:p>
        </w:tc>
        <w:tc>
          <w:tcPr>
            <w:tcW w:w="198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金元宝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单位负责人</w:t>
            </w:r>
          </w:p>
        </w:tc>
        <w:tc>
          <w:tcPr>
            <w:tcW w:w="22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b/>
          <w:sz w:val="18"/>
          <w:szCs w:val="18"/>
        </w:rPr>
        <w:t>注：1、不得含有排他性技术指标2、条目可根据具体情况增减</w:t>
      </w:r>
      <w:r>
        <w:rPr>
          <w:rFonts w:ascii="仿宋" w:hAnsi="仿宋" w:eastAsia="仿宋"/>
          <w:b/>
          <w:sz w:val="18"/>
          <w:szCs w:val="18"/>
        </w:rPr>
        <w:t>3</w:t>
      </w:r>
      <w:r>
        <w:rPr>
          <w:rFonts w:hint="eastAsia" w:ascii="仿宋" w:hAnsi="仿宋" w:eastAsia="仿宋"/>
          <w:b/>
          <w:sz w:val="18"/>
          <w:szCs w:val="18"/>
        </w:rPr>
        <w:t>、本页不够可另起一页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65"/>
    <w:rsid w:val="00195827"/>
    <w:rsid w:val="001A2163"/>
    <w:rsid w:val="001B4F42"/>
    <w:rsid w:val="00412D8F"/>
    <w:rsid w:val="006D01BB"/>
    <w:rsid w:val="007138AE"/>
    <w:rsid w:val="00800245"/>
    <w:rsid w:val="0080720E"/>
    <w:rsid w:val="00821514"/>
    <w:rsid w:val="00843BD6"/>
    <w:rsid w:val="00886108"/>
    <w:rsid w:val="009C7B65"/>
    <w:rsid w:val="00A70AB0"/>
    <w:rsid w:val="00BA1F49"/>
    <w:rsid w:val="00BB4974"/>
    <w:rsid w:val="00C106F1"/>
    <w:rsid w:val="00C7407D"/>
    <w:rsid w:val="00F465AA"/>
    <w:rsid w:val="00FA0DFB"/>
    <w:rsid w:val="11A3482D"/>
    <w:rsid w:val="2A3B52B6"/>
    <w:rsid w:val="328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564</Characters>
  <Lines>4</Lines>
  <Paragraphs>1</Paragraphs>
  <ScaleCrop>false</ScaleCrop>
  <LinksUpToDate>false</LinksUpToDate>
  <CharactersWithSpaces>661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2018-06-20T00:44:00Z</dcterms:created>
  <dc:creator>李 一男</dc:creator>
  <cp:lastModifiedBy>wly</cp:lastModifiedBy>
  <cp:lastPrinted>2018-05-29T14:16:00Z</cp:lastPrinted>
  <dcterms:modified xsi:type="dcterms:W3CDTF">2018-06-21T14:09:29Z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