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项目名称</w:t>
            </w:r>
          </w:p>
        </w:tc>
        <w:tc>
          <w:tcPr>
            <w:tcW w:w="2752" w:type="dxa"/>
            <w:vAlign w:val="center"/>
          </w:tcPr>
          <w:p>
            <w:pPr>
              <w:jc w:val="center"/>
              <w:rPr>
                <w:rFonts w:ascii="仿宋" w:hAnsi="仿宋" w:eastAsia="仿宋"/>
                <w:color w:val="auto"/>
                <w:sz w:val="24"/>
                <w:szCs w:val="24"/>
              </w:rPr>
            </w:pPr>
            <w:r>
              <w:rPr>
                <w:rFonts w:hint="eastAsia" w:ascii="仿宋" w:hAnsi="仿宋" w:eastAsia="仿宋"/>
                <w:color w:val="auto"/>
                <w:sz w:val="24"/>
                <w:szCs w:val="24"/>
                <w:lang w:val="en-US" w:eastAsia="zh-CN"/>
              </w:rPr>
              <w:t>集成电路</w:t>
            </w:r>
            <w:r>
              <w:rPr>
                <w:rFonts w:hint="eastAsia" w:ascii="仿宋" w:hAnsi="仿宋" w:eastAsia="仿宋"/>
                <w:color w:val="auto"/>
                <w:sz w:val="24"/>
                <w:szCs w:val="24"/>
              </w:rPr>
              <w:t>数模混合ATE测试系统</w:t>
            </w:r>
          </w:p>
        </w:tc>
        <w:tc>
          <w:tcPr>
            <w:tcW w:w="1626" w:type="dxa"/>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采购编号</w:t>
            </w:r>
          </w:p>
        </w:tc>
        <w:tc>
          <w:tcPr>
            <w:tcW w:w="2474" w:type="dxa"/>
            <w:gridSpan w:val="2"/>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供货时间</w:t>
            </w:r>
          </w:p>
        </w:tc>
        <w:tc>
          <w:tcPr>
            <w:tcW w:w="2752"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2024年9月</w:t>
            </w:r>
          </w:p>
        </w:tc>
        <w:tc>
          <w:tcPr>
            <w:tcW w:w="1626" w:type="dxa"/>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供货地点</w:t>
            </w:r>
          </w:p>
        </w:tc>
        <w:tc>
          <w:tcPr>
            <w:tcW w:w="2474" w:type="dxa"/>
            <w:gridSpan w:val="2"/>
            <w:vAlign w:val="center"/>
          </w:tcPr>
          <w:p>
            <w:pPr>
              <w:jc w:val="center"/>
              <w:rPr>
                <w:rFonts w:ascii="仿宋" w:hAnsi="仿宋" w:eastAsia="仿宋"/>
                <w:color w:val="auto"/>
                <w:sz w:val="24"/>
                <w:szCs w:val="24"/>
              </w:rPr>
            </w:pPr>
            <w:r>
              <w:rPr>
                <w:rFonts w:hint="eastAsia" w:ascii="仿宋" w:hAnsi="仿宋" w:eastAsia="仿宋"/>
                <w:sz w:val="24"/>
                <w:szCs w:val="24"/>
                <w:lang w:val="en-US" w:eastAsia="zh-CN"/>
              </w:rPr>
              <w:t>珠海科技学院实验楼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售后服务要求</w:t>
            </w:r>
          </w:p>
        </w:tc>
        <w:tc>
          <w:tcPr>
            <w:tcW w:w="6852" w:type="dxa"/>
            <w:gridSpan w:val="4"/>
            <w:vAlign w:val="center"/>
          </w:tcPr>
          <w:p>
            <w:pPr>
              <w:rPr>
                <w:rFonts w:ascii="仿宋" w:hAnsi="仿宋" w:eastAsia="仿宋"/>
                <w:color w:val="auto"/>
                <w:sz w:val="24"/>
                <w:szCs w:val="24"/>
              </w:rPr>
            </w:pPr>
            <w:r>
              <w:rPr>
                <w:rFonts w:hint="eastAsia" w:ascii="仿宋" w:hAnsi="仿宋" w:eastAsia="仿宋"/>
                <w:color w:val="auto"/>
                <w:sz w:val="24"/>
                <w:szCs w:val="24"/>
              </w:rPr>
              <w:t>验收合格之日起，（3）年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安装调试要求</w:t>
            </w:r>
          </w:p>
        </w:tc>
        <w:tc>
          <w:tcPr>
            <w:tcW w:w="6852" w:type="dxa"/>
            <w:gridSpan w:val="4"/>
            <w:vAlign w:val="center"/>
          </w:tcPr>
          <w:p>
            <w:pPr>
              <w:rPr>
                <w:rFonts w:ascii="仿宋" w:hAnsi="仿宋" w:eastAsia="仿宋"/>
                <w:color w:val="auto"/>
                <w:sz w:val="24"/>
                <w:szCs w:val="24"/>
              </w:rPr>
            </w:pPr>
            <w:r>
              <w:rPr>
                <w:rFonts w:hint="eastAsia" w:ascii="仿宋" w:hAnsi="仿宋" w:eastAsia="仿宋"/>
                <w:color w:val="auto"/>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验收、付款方式</w:t>
            </w:r>
          </w:p>
        </w:tc>
        <w:tc>
          <w:tcPr>
            <w:tcW w:w="6852" w:type="dxa"/>
            <w:gridSpan w:val="4"/>
          </w:tcPr>
          <w:p>
            <w:pPr>
              <w:rPr>
                <w:rFonts w:ascii="仿宋" w:hAnsi="仿宋" w:eastAsia="仿宋"/>
                <w:color w:val="auto"/>
                <w:sz w:val="24"/>
                <w:szCs w:val="24"/>
              </w:rPr>
            </w:pPr>
            <w:r>
              <w:rPr>
                <w:rFonts w:hint="eastAsia" w:ascii="仿宋" w:hAnsi="仿宋" w:eastAsia="仿宋"/>
                <w:color w:val="auto"/>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color w:val="auto"/>
                <w:sz w:val="24"/>
                <w:szCs w:val="24"/>
              </w:rPr>
            </w:pPr>
            <w:r>
              <w:rPr>
                <w:rFonts w:hint="eastAsia" w:ascii="仿宋" w:hAnsi="仿宋" w:eastAsia="仿宋"/>
                <w:b/>
                <w:bCs/>
                <w:color w:val="auto"/>
                <w:sz w:val="24"/>
                <w:szCs w:val="24"/>
              </w:rPr>
              <w:t>项目概述</w:t>
            </w:r>
            <w:r>
              <w:rPr>
                <w:rFonts w:hint="eastAsia" w:ascii="仿宋" w:hAnsi="仿宋" w:eastAsia="仿宋"/>
                <w:color w:val="auto"/>
                <w:sz w:val="24"/>
                <w:szCs w:val="24"/>
              </w:rPr>
              <w:t>：</w:t>
            </w:r>
          </w:p>
          <w:p>
            <w:pPr>
              <w:rPr>
                <w:rFonts w:ascii="仿宋" w:hAnsi="仿宋" w:eastAsia="仿宋"/>
                <w:color w:val="auto"/>
                <w:sz w:val="24"/>
                <w:szCs w:val="24"/>
              </w:rPr>
            </w:pPr>
            <w:r>
              <w:rPr>
                <w:rFonts w:hint="eastAsia" w:ascii="仿宋" w:hAnsi="仿宋" w:eastAsia="仿宋"/>
                <w:color w:val="auto"/>
                <w:sz w:val="24"/>
                <w:szCs w:val="24"/>
              </w:rPr>
              <w:t>电子信息工程学院微电子科学与工程专业采购用于教学、科研的</w:t>
            </w:r>
            <w:r>
              <w:rPr>
                <w:rFonts w:hint="eastAsia" w:ascii="仿宋" w:hAnsi="仿宋" w:eastAsia="仿宋"/>
                <w:color w:val="auto"/>
                <w:sz w:val="24"/>
                <w:szCs w:val="24"/>
                <w:lang w:val="en-US" w:eastAsia="zh-CN"/>
              </w:rPr>
              <w:t>集成电路</w:t>
            </w:r>
            <w:r>
              <w:rPr>
                <w:rFonts w:hint="eastAsia" w:ascii="仿宋" w:hAnsi="仿宋" w:eastAsia="仿宋"/>
                <w:color w:val="auto"/>
                <w:sz w:val="24"/>
                <w:szCs w:val="24"/>
              </w:rPr>
              <w:t>数模混合ATE测试系统 4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b/>
                <w:color w:val="auto"/>
                <w:sz w:val="24"/>
                <w:szCs w:val="24"/>
              </w:rPr>
            </w:pPr>
            <w:r>
              <w:rPr>
                <w:rFonts w:hint="eastAsia" w:ascii="仿宋" w:hAnsi="仿宋" w:eastAsia="仿宋"/>
                <w:b/>
                <w:color w:val="auto"/>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143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指标名称</w:t>
            </w:r>
          </w:p>
        </w:tc>
        <w:tc>
          <w:tcPr>
            <w:tcW w:w="5752" w:type="dxa"/>
            <w:gridSpan w:val="3"/>
            <w:vAlign w:val="center"/>
          </w:tcPr>
          <w:p>
            <w:pPr>
              <w:jc w:val="center"/>
              <w:rPr>
                <w:rFonts w:ascii="仿宋" w:hAnsi="仿宋" w:eastAsia="仿宋"/>
                <w:color w:val="auto"/>
                <w:sz w:val="24"/>
                <w:szCs w:val="24"/>
              </w:rPr>
            </w:pPr>
            <w:r>
              <w:rPr>
                <w:rFonts w:hint="eastAsia" w:ascii="仿宋" w:hAnsi="仿宋" w:eastAsia="仿宋"/>
                <w:color w:val="auto"/>
                <w:sz w:val="24"/>
                <w:szCs w:val="24"/>
              </w:rPr>
              <w:t>参数明细</w:t>
            </w:r>
          </w:p>
        </w:tc>
        <w:tc>
          <w:tcPr>
            <w:tcW w:w="11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数模混合ATE测试系统（含器件测试平台）</w:t>
            </w:r>
          </w:p>
        </w:tc>
        <w:tc>
          <w:tcPr>
            <w:tcW w:w="5752"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 系统配</w:t>
            </w:r>
            <w:r>
              <w:rPr>
                <w:rFonts w:hint="eastAsia" w:ascii="仿宋" w:hAnsi="仿宋" w:eastAsia="仿宋" w:cs="仿宋"/>
                <w:color w:val="auto"/>
                <w:sz w:val="24"/>
                <w:szCs w:val="24"/>
                <w:lang w:eastAsia="zh-CN"/>
              </w:rPr>
              <w:t>置</w:t>
            </w:r>
            <w:r>
              <w:rPr>
                <w:rFonts w:hint="eastAsia" w:ascii="仿宋" w:hAnsi="仿宋" w:eastAsia="仿宋" w:cs="仿宋"/>
                <w:color w:val="auto"/>
                <w:sz w:val="24"/>
                <w:szCs w:val="24"/>
              </w:rPr>
              <w:t>至少2路TTL接口和至少1路GPIB接口，可连接探针台和分选机；</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2. 系统具备独立SGND结构；</w:t>
            </w:r>
          </w:p>
          <w:p>
            <w:pPr>
              <w:widowControl/>
              <w:jc w:val="left"/>
              <w:rPr>
                <w:rFonts w:ascii="仿宋" w:hAnsi="仿宋" w:eastAsia="仿宋" w:cs="仿宋"/>
                <w:bCs/>
                <w:color w:val="auto"/>
                <w:sz w:val="24"/>
                <w:szCs w:val="24"/>
              </w:rPr>
            </w:pPr>
            <w:r>
              <w:rPr>
                <w:rFonts w:hint="eastAsia" w:ascii="仿宋" w:hAnsi="仿宋" w:eastAsia="仿宋" w:cs="仿宋"/>
                <w:color w:val="auto"/>
                <w:sz w:val="24"/>
                <w:szCs w:val="24"/>
              </w:rPr>
              <w:t>▲3. 系统搭载DVI测试板：≥1块、≥2路高精度电压电流源、电压范围：≥-50Vto+50V，精度≤0.05%、电流范围：≥-2Ato+2A，精度≤0.1%；</w:t>
            </w:r>
            <w:r>
              <w:rPr>
                <w:rFonts w:hint="eastAsia" w:ascii="仿宋" w:hAnsi="仿宋" w:eastAsia="仿宋" w:cs="仿宋"/>
                <w:bCs/>
                <w:color w:val="auto"/>
                <w:sz w:val="24"/>
                <w:szCs w:val="24"/>
              </w:rPr>
              <w:t>（证明材料：需提供包含上述全部功能内容的</w:t>
            </w:r>
            <w:r>
              <w:rPr>
                <w:rFonts w:hint="eastAsia" w:ascii="仿宋" w:hAnsi="仿宋" w:eastAsia="仿宋" w:cs="仿宋"/>
                <w:color w:val="auto"/>
                <w:sz w:val="24"/>
                <w:szCs w:val="24"/>
              </w:rPr>
              <w:t>DVI</w:t>
            </w:r>
            <w:r>
              <w:rPr>
                <w:rFonts w:hint="eastAsia" w:ascii="仿宋" w:hAnsi="仿宋" w:eastAsia="仿宋" w:cs="仿宋"/>
                <w:bCs/>
                <w:color w:val="auto"/>
                <w:sz w:val="24"/>
                <w:szCs w:val="24"/>
              </w:rPr>
              <w:t>测试板卡实物照片，在实物照片中需分别标识出</w:t>
            </w:r>
            <w:r>
              <w:rPr>
                <w:rFonts w:hint="eastAsia" w:ascii="仿宋" w:hAnsi="仿宋" w:eastAsia="仿宋" w:cs="仿宋"/>
                <w:color w:val="auto"/>
                <w:sz w:val="24"/>
                <w:szCs w:val="24"/>
              </w:rPr>
              <w:t>2路高精度电压电流源具体位置</w:t>
            </w:r>
            <w:r>
              <w:rPr>
                <w:rFonts w:hint="eastAsia" w:ascii="仿宋" w:hAnsi="仿宋" w:eastAsia="仿宋" w:cs="仿宋"/>
                <w:bCs/>
                <w:color w:val="auto"/>
                <w:sz w:val="24"/>
                <w:szCs w:val="24"/>
              </w:rPr>
              <w:t>）</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▲4. 系统搭载OVI测试板：≥1块、系统搭载8路高精度独立电压电流源、电压范围：≥-50Vto+50V，精度≤0.05%、电流范围：≥-1Ato+1A，精度≤0.1%；</w:t>
            </w:r>
            <w:r>
              <w:rPr>
                <w:rFonts w:hint="eastAsia" w:ascii="仿宋" w:hAnsi="仿宋" w:eastAsia="仿宋" w:cs="仿宋"/>
                <w:bCs/>
                <w:color w:val="auto"/>
                <w:sz w:val="24"/>
                <w:szCs w:val="24"/>
              </w:rPr>
              <w:t>（证明材料：需提供包含上述全部功能内容的</w:t>
            </w:r>
            <w:r>
              <w:rPr>
                <w:rFonts w:hint="eastAsia" w:ascii="仿宋" w:hAnsi="仿宋" w:eastAsia="仿宋" w:cs="仿宋"/>
                <w:color w:val="auto"/>
                <w:sz w:val="24"/>
                <w:szCs w:val="24"/>
              </w:rPr>
              <w:t>OVI</w:t>
            </w:r>
            <w:r>
              <w:rPr>
                <w:rFonts w:hint="eastAsia" w:ascii="仿宋" w:hAnsi="仿宋" w:eastAsia="仿宋" w:cs="仿宋"/>
                <w:bCs/>
                <w:color w:val="auto"/>
                <w:sz w:val="24"/>
                <w:szCs w:val="24"/>
              </w:rPr>
              <w:t>测试板卡实物照片，在实物照片中需分别标识出</w:t>
            </w:r>
            <w:r>
              <w:rPr>
                <w:rFonts w:hint="eastAsia" w:ascii="仿宋" w:hAnsi="仿宋" w:eastAsia="仿宋" w:cs="仿宋"/>
                <w:color w:val="auto"/>
                <w:sz w:val="24"/>
                <w:szCs w:val="24"/>
              </w:rPr>
              <w:t>8路高精度独立电压电流源具体位置</w:t>
            </w:r>
            <w:r>
              <w:rPr>
                <w:rFonts w:hint="eastAsia" w:ascii="仿宋" w:hAnsi="仿宋" w:eastAsia="仿宋" w:cs="仿宋"/>
                <w:bCs/>
                <w:color w:val="auto"/>
                <w:sz w:val="24"/>
                <w:szCs w:val="24"/>
              </w:rPr>
              <w:t>）</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5. 系统搭载QTMU测试板：≥1块、电压范围：≥-50Vto+50V、时间测量精度：≤10ns±</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0.1%OfRange、时间测量量程：不限于200MHz，100MHz，50MHz，50KHz；</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▲6. 系统搭载PVM40测试板：≥1块、搭载≥128路CBIT、搭载≥4路TTL、搭载≥32路DIO(-2V-8V</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最大时钟200MHz)；</w:t>
            </w:r>
            <w:r>
              <w:rPr>
                <w:rFonts w:hint="eastAsia" w:ascii="仿宋" w:hAnsi="仿宋" w:eastAsia="仿宋" w:cs="仿宋"/>
                <w:bCs/>
                <w:color w:val="auto"/>
                <w:sz w:val="24"/>
                <w:szCs w:val="24"/>
              </w:rPr>
              <w:t>（证明材料：需提供包含上述全部功能内容的</w:t>
            </w:r>
            <w:r>
              <w:rPr>
                <w:rFonts w:hint="eastAsia" w:ascii="仿宋" w:hAnsi="仿宋" w:eastAsia="仿宋" w:cs="仿宋"/>
                <w:color w:val="auto"/>
                <w:sz w:val="24"/>
                <w:szCs w:val="24"/>
              </w:rPr>
              <w:t>PVM40</w:t>
            </w:r>
            <w:r>
              <w:rPr>
                <w:rFonts w:hint="eastAsia" w:ascii="仿宋" w:hAnsi="仿宋" w:eastAsia="仿宋" w:cs="仿宋"/>
                <w:bCs/>
                <w:color w:val="auto"/>
                <w:sz w:val="24"/>
                <w:szCs w:val="24"/>
              </w:rPr>
              <w:t>测试板卡实物照片，在实物照片中需分别标识出</w:t>
            </w:r>
            <w:r>
              <w:rPr>
                <w:rFonts w:hint="eastAsia" w:ascii="仿宋" w:hAnsi="仿宋" w:eastAsia="仿宋" w:cs="仿宋"/>
                <w:color w:val="auto"/>
                <w:sz w:val="24"/>
                <w:szCs w:val="24"/>
              </w:rPr>
              <w:t>128路CBIT、4路TTL、32路DIO具体位置</w:t>
            </w:r>
            <w:r>
              <w:rPr>
                <w:rFonts w:hint="eastAsia" w:ascii="仿宋" w:hAnsi="仿宋" w:eastAsia="仿宋" w:cs="仿宋"/>
                <w:bCs/>
                <w:color w:val="auto"/>
                <w:sz w:val="24"/>
                <w:szCs w:val="24"/>
              </w:rPr>
              <w:t>）</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7. 微纳电子器件教学套件需包含实验箱主机、USB线、T型转接头和BNC缆线，主要用于微纳电子器件实验。</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▲8. 微纳电子器件教学套件实验箱主机需包含Power，Communication，Device和Environment指示灯；需包含Test，Model，Teach和Data功能选择按钮；需至少包含如下20个器件选择按钮：NMOS 0.18um，LDMOS，PDSOI，BJT NPN，Diode，Resistor，Capacitor，Varactor，JFET，TFT，SRAM，RO，28nmNMOS，FinFET，FDSOI，GaN，Custom-1,Custom-2，Custom-3，VR-Probe；需包含一块32乘8点阵屏；需至少包含5个器件管脚BNC接口，9个测试设备BNC接口，19个接口指示灯；需至少包含如下3个测试环境旋钮：Temperature，Reliability&amp;Time，Radiation。</w:t>
            </w:r>
            <w:r>
              <w:rPr>
                <w:rFonts w:hint="eastAsia" w:ascii="仿宋" w:hAnsi="仿宋" w:eastAsia="仿宋" w:cs="仿宋"/>
                <w:bCs/>
                <w:color w:val="auto"/>
                <w:sz w:val="24"/>
                <w:szCs w:val="24"/>
              </w:rPr>
              <w:t>（证明材料：需提供包含上述全部内容的实验箱主机实物照片）</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▲9. 微纳电子器件教学套件需能模拟真实器件测量过程，学习器件物理和环境因素的影响；需支持选择测量曲线类型包括：I_V和C_V；需支持编写测量脚本、改变器件参数、测量数据保存；需模拟的测试仪器包括：半导体参数分析仪，包含源测量单元（SMU）和电容电压单元（LCR</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；需支持器件测量仪器端口相关线缆的实操连接；需模拟的测试环境包括：测量温度，测量时间（用于可靠性测试如HCI，NBTI等）及辐照剂量（用于模拟器件在空间应用的相关特性）。</w:t>
            </w:r>
          </w:p>
          <w:p>
            <w:pPr>
              <w:rPr>
                <w:rFonts w:ascii="仿宋" w:hAnsi="仿宋" w:eastAsia="仿宋" w:cs="仿宋"/>
                <w:color w:val="auto"/>
                <w:sz w:val="24"/>
                <w:szCs w:val="24"/>
              </w:rPr>
            </w:pPr>
            <w:r>
              <w:rPr>
                <w:rFonts w:hint="eastAsia" w:ascii="仿宋" w:hAnsi="仿宋" w:eastAsia="仿宋" w:cs="仿宋"/>
                <w:color w:val="auto"/>
                <w:sz w:val="24"/>
                <w:szCs w:val="24"/>
              </w:rPr>
              <w:t>10. 微纳电子器件教学套件需包含微纳电子器件实验课程的实验指导书和实验答案，至少包括：1：器件测量设备及其原理；2：器件测试脚本语法分析与实验；3：二极管IV特性测量实验；4：二极管CV特性测量实验；5：BJT输入特性测量实验；6：BJT输出特性测量实验；7：半导体扩散电阻测量实验；8：JFET转移特性测量实验；9：JFET输出特性测量实验；10：JFET栅电流特性测量实验；11：TFT转移特性测量实验；12：TFT输出特性测量实验；13：半导体电容器CV测量实验；14：MOS变容器CV特性测量实验；15：180nmNMOS转移特性测量实验；16：180nmNMOS输出特性测量；17：180nmNMOS衬偏特性测量实验；18：180nmNMOS衬底电流测量；19：180nmNMOS电容特性测量实验；20：SRAM存储器测量实验；21：环形振荡器测量实验；22：FDSOI转移特性测量实验；23：FDSOI输出特性测量实验；24：PDSOI转移特性测量实验；25：PDSOI输出特性测量实验；26：PDSOI栅电容测量实验；27：PDSOI沟道电容测量实验；28：28nmNMOS转移特性测量；29：28nmNMOS输出特性测量；30：28nmNMOS栅电流特性测量；31：28nmNMOS衬底偏置特性测量；32：28nmNMOS衬底电流测；33：28nmNMOS DIBL特性测量；34：28nmNMOS电容特性测量实验；35：FinFET转移特性测量实验；36：FinFET输出特性测量实验；37：FinFET Isub和Ig特性测量实验；38：GaN转移特性测量实验；39：GaN输出特性测量实验；40：LDMOS转移特性测量实验；41：LDMOS输出特性测量实验；42：LDMOS电容特性测量实验。</w:t>
            </w:r>
            <w:r>
              <w:rPr>
                <w:rFonts w:hint="eastAsia" w:ascii="仿宋" w:hAnsi="仿宋" w:eastAsia="仿宋" w:cs="仿宋"/>
                <w:bCs/>
                <w:color w:val="auto"/>
                <w:sz w:val="24"/>
                <w:szCs w:val="24"/>
              </w:rPr>
              <w:t>（证明材料：需提供包含上述教材目录且包含器件测试脚本语法分析与实验和二极管IV特性测量实验的实验指导书和答案示例，总计页数不少于25页）</w:t>
            </w:r>
          </w:p>
        </w:tc>
        <w:tc>
          <w:tcPr>
            <w:tcW w:w="1100"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sz w:val="24"/>
                <w:szCs w:val="24"/>
              </w:rPr>
            </w:pPr>
            <w:r>
              <w:rPr>
                <w:rFonts w:hint="eastAsia" w:ascii="仿宋" w:hAnsi="仿宋" w:eastAsia="仿宋" w:cs="仿宋"/>
                <w:color w:val="auto"/>
                <w:sz w:val="24"/>
                <w:szCs w:val="24"/>
              </w:rPr>
              <w:t>数模混合ATE测试系统开发软件（含晶圆测试及成品分选软件）</w:t>
            </w:r>
          </w:p>
          <w:p>
            <w:pPr>
              <w:jc w:val="center"/>
              <w:rPr>
                <w:rFonts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 数模混合测试系统开发软件可运行在WindowsXP/Windows10操作系统，支持VB/C/C++环境编程；</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2. 支持Microsoft Visual Studio代码编辑及编译，应有丰富的快捷键，可提高开发效率；</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3. 支持代码高亮、智能编辑，代码输入过程中自动代码填充，提升编码速度；</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4. 支持Debug调试功能，方便故障、错误定位，提升调试效率；</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5. 支持实时动态显示测试结果，可根据客户需求后台设定良率目标；</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6. 支持ACCESS、EXCEL、CSV三种数据保存格式；</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7. 支持自建用户测试程序框架，编程简单，调试方便；</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8. 具有用户编程结构拷贝功能，对同类产品编程可节约大量时间；</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9. 支持可用参数列表方式选择测试参数和修改测试条件；</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10. 支持控制测试机电源，具有系统过载自动保护功能。</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11、支持测试过程实时监测机台状况，发现异常自动报警提示。</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▲12. 包含测试线实景操作VR软件，内部包含一个12英寸探针台和至少10种12英寸晶圆，探针台可互动的操作步骤至少20种（如扎探针等），探针台显微镜需要有至少5档变焦功能，探针台支持的移动方向为空间6维度方向均可，探针台的晶圆移动速度至少有5档可调；晶圆的像素点要至少为30万长X30万宽的圆形晶圆像素点，需取材于真实晶圆的图像，至少需要包含二极管、双极型晶体管、MOSFET、JFET、HEMT、FinFET、TFT、电阻、电容等器件的Pad结构；每个晶圆的Die数量至少为20个，每个Die的器件要能够体现工艺浮动特性，即输出数据需具有统计意义的误差；用户需要能够完成探针扎取过程，至少有三个探针旋钮（前后旋钮、左右旋钮、上下旋钮）可供调节，调节过程实时体现，并且在探针扎取过深时提示误操作。（证明材料：需提供至少10种12英寸晶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含全局图和局部图、5档变焦，6维度方向移动，5档移动速度的功能截图）</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13. 包含的测试线实景操作VR软件需能记录学生操作，并给学生打分，完成实训过程考核，同时，软件需留有可供第三方控制系统进行自动控制的接口，以便在嵌入第三方系统后，实现实训课程的智能跟踪与管控，获取和统计学生实时实训情况和过往实训进度。</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▲14. 包含集成电路虚拟测试实训平台课程的学生用实验指导书和教师用教辅材料，</w:t>
            </w:r>
            <w:r>
              <w:rPr>
                <w:rFonts w:hint="eastAsia" w:ascii="仿宋" w:hAnsi="仿宋" w:eastAsia="仿宋" w:cs="仿宋"/>
                <w:bCs/>
                <w:color w:val="auto"/>
                <w:sz w:val="24"/>
                <w:szCs w:val="24"/>
              </w:rPr>
              <w:t>需包含视频和文字材料，实验指导书不少于110页，教辅材料不少于42页。教材内容至少包括：实训1 虚拟探针台基本操作教学，实训2 器件I-V特性测量原理与仪器使用，实训3 器件C-V和L-V特性测量原理与仪器使用，实训4 双极型晶体管器件测量技能实训，实训5 MOSFET器件测量技能实训，实训6 JFET和MESFET器件测量技能实训，实训7 集成电路无源元件测量技能实训，实训8 集成电路先进器件测量技能实训。（证明材料：需提供包含上述教材目录的实验指导书示例及实验教辅材料示例合计不少于40页）</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15. 包含集成电路虚拟测试实训平台理论课程视频，视频总长度不小于1小时22分，并且，视频内容至少包括：课程1：器件测试结构Testkey，课程2：器件测量数据详解。</w:t>
            </w:r>
          </w:p>
          <w:p>
            <w:pPr>
              <w:rPr>
                <w:rFonts w:ascii="仿宋" w:hAnsi="仿宋" w:eastAsia="仿宋" w:cs="仿宋"/>
                <w:color w:val="auto"/>
                <w:sz w:val="24"/>
                <w:szCs w:val="24"/>
              </w:rPr>
            </w:pPr>
            <w:r>
              <w:rPr>
                <w:rFonts w:hint="eastAsia" w:ascii="仿宋" w:hAnsi="仿宋" w:eastAsia="仿宋" w:cs="仿宋"/>
                <w:color w:val="auto"/>
                <w:sz w:val="24"/>
                <w:szCs w:val="24"/>
              </w:rPr>
              <w:t>16. 包含集成电路虚拟测试实训平台考核题，考核题不少于200个，能够完成学生考核和打分功能，教师可以通过输入密码的方式获取学生的考核结果，考核结果至少包括学生姓名、学号、考核成绩、学生答题记录与正确答案。</w:t>
            </w:r>
          </w:p>
        </w:tc>
        <w:tc>
          <w:tcPr>
            <w:tcW w:w="1100"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测试实训平台套装</w:t>
            </w:r>
          </w:p>
        </w:tc>
        <w:tc>
          <w:tcPr>
            <w:tcW w:w="5752"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1. 测试实训平台套装支持集成运算放大器（AMP），电源（DC-DC），电可擦编程只读存储器（EEPROM），微控制器（MCU），模数转换（ADC）、音频功放等常用类型芯片的测试教学及实训；</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2. 测试实训平台套装提供以上每种类型芯片数量不少于1颗；</w:t>
            </w:r>
          </w:p>
          <w:p>
            <w:pPr>
              <w:widowControl/>
              <w:jc w:val="left"/>
              <w:rPr>
                <w:rFonts w:ascii="仿宋" w:hAnsi="仿宋" w:eastAsia="仿宋" w:cs="仿宋"/>
                <w:color w:val="auto"/>
                <w:sz w:val="24"/>
                <w:szCs w:val="24"/>
              </w:rPr>
            </w:pPr>
            <w:r>
              <w:rPr>
                <w:rFonts w:hint="eastAsia" w:ascii="仿宋" w:hAnsi="仿宋" w:eastAsia="仿宋" w:cs="仿宋"/>
                <w:color w:val="auto"/>
                <w:sz w:val="24"/>
                <w:szCs w:val="24"/>
              </w:rPr>
              <w:t>3. 测试实训平台套装包含实验案例代码和实验指导书，至少包括：课程1.ATE测试概述（1学时），课程2.ATE测试系统（1学时），课程3.集成电路直流参数测试（1学时），课程4.集成电路交流参数测试（1学时），课程5.集成电路功能测试（1学时），课程6.数字集成电路ATE测试（1学时），课程7.模拟集成电路ATE测试（1学时），课程8.数模混合集成电路ATE测试（1学时），实训1.低压差线性稳压器芯片成品测试（3学时），实训2.模数转换器芯片成品测试（3学时），实训3.EEPROM存储器芯片成品测试（3学时），实训4.MCU微型控制器芯片成品测试（3学时），实训5.三端稳压器芯片成品测试（3学时），实训6.LED驱动芯片成品测试（3学时），实训7.数字电路74HC151成品测试（3学时），实训8.数字电路SN74LS139N成品测试（3学时），实训9.数字电路CD4511BE成品测试（3学时），实训10.数字电路GP8101成品测试（3学时），实训11.模拟电路LM324成品测试（3学时），实训12.模拟电路OPA2277成品测试（3学时），实训13.模拟电路TPS73625成品测试（4学时），实训14.模拟电路AD8058成品测试（4学时），实训15.存储集成电路AT24C02成品测试（4学时），实训16.专用集成电路P25Q80成品测试（4学时），实训17.混合集成电路AD7895成品测试（4学时）</w:t>
            </w:r>
          </w:p>
        </w:tc>
        <w:tc>
          <w:tcPr>
            <w:tcW w:w="1100" w:type="dxa"/>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left"/>
              <w:rPr>
                <w:rFonts w:ascii="仿宋" w:hAnsi="仿宋" w:eastAsia="仿宋" w:cs="仿宋"/>
                <w:color w:val="auto"/>
                <w:sz w:val="24"/>
                <w:szCs w:val="24"/>
              </w:rPr>
            </w:pPr>
            <w:r>
              <w:rPr>
                <w:rFonts w:hint="eastAsia" w:ascii="仿宋" w:hAnsi="仿宋" w:eastAsia="仿宋"/>
                <w:b/>
                <w:color w:val="auto"/>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color w:val="auto"/>
                <w:sz w:val="24"/>
                <w:szCs w:val="24"/>
              </w:rPr>
            </w:pPr>
            <w:r>
              <w:rPr>
                <w:rFonts w:hint="eastAsia" w:ascii="仿宋" w:hAnsi="仿宋" w:eastAsia="仿宋"/>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olor w:val="auto"/>
                <w:sz w:val="24"/>
                <w:szCs w:val="24"/>
              </w:rPr>
              <w:t>指标名称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0"/>
                <w:szCs w:val="20"/>
              </w:rPr>
            </w:pPr>
            <w:r>
              <w:rPr>
                <w:rFonts w:hint="eastAsia" w:ascii="仿宋" w:hAnsi="仿宋" w:eastAsia="仿宋"/>
                <w:color w:val="auto"/>
                <w:sz w:val="24"/>
                <w:szCs w:val="24"/>
              </w:rPr>
              <w:t>参数明细</w:t>
            </w:r>
          </w:p>
        </w:tc>
        <w:tc>
          <w:tcPr>
            <w:tcW w:w="1100" w:type="dxa"/>
            <w:vAlign w:val="center"/>
          </w:tcPr>
          <w:p>
            <w:pPr>
              <w:jc w:val="center"/>
              <w:rPr>
                <w:rFonts w:ascii="仿宋" w:hAnsi="仿宋" w:eastAsia="仿宋" w:cs="仿宋"/>
                <w:color w:val="auto"/>
                <w:sz w:val="24"/>
                <w:szCs w:val="24"/>
              </w:rPr>
            </w:pPr>
            <w:r>
              <w:rPr>
                <w:rFonts w:hint="eastAsia" w:ascii="仿宋" w:hAnsi="仿宋" w:eastAsia="仿宋"/>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color w:val="auto"/>
                <w:sz w:val="24"/>
                <w:szCs w:val="24"/>
              </w:rPr>
            </w:pPr>
            <w:r>
              <w:rPr>
                <w:rFonts w:ascii="仿宋" w:hAnsi="仿宋" w:eastAsia="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0"/>
                <w:szCs w:val="20"/>
              </w:rPr>
            </w:pPr>
          </w:p>
        </w:tc>
        <w:tc>
          <w:tcPr>
            <w:tcW w:w="1100" w:type="dxa"/>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color w:val="auto"/>
                <w:sz w:val="24"/>
                <w:szCs w:val="24"/>
              </w:rPr>
            </w:pPr>
            <w:r>
              <w:rPr>
                <w:rFonts w:ascii="仿宋" w:hAnsi="仿宋" w:eastAsia="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0"/>
                <w:szCs w:val="20"/>
              </w:rPr>
            </w:pPr>
          </w:p>
        </w:tc>
        <w:tc>
          <w:tcPr>
            <w:tcW w:w="1100" w:type="dxa"/>
          </w:tcPr>
          <w:p>
            <w:pPr>
              <w:rPr>
                <w:rFonts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申报人</w:t>
            </w:r>
          </w:p>
        </w:tc>
        <w:tc>
          <w:tcPr>
            <w:tcW w:w="6852" w:type="dxa"/>
            <w:gridSpan w:val="4"/>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潘欣欣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授权代表（评标）</w:t>
            </w:r>
          </w:p>
        </w:tc>
        <w:tc>
          <w:tcPr>
            <w:tcW w:w="6852" w:type="dxa"/>
            <w:gridSpan w:val="4"/>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单位负责人</w:t>
            </w:r>
          </w:p>
        </w:tc>
        <w:tc>
          <w:tcPr>
            <w:tcW w:w="6852" w:type="dxa"/>
            <w:gridSpan w:val="4"/>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司玉娟</w:t>
            </w:r>
          </w:p>
        </w:tc>
      </w:tr>
    </w:tbl>
    <w:p>
      <w:pPr>
        <w:ind w:left="514" w:hanging="514" w:hangingChars="245"/>
        <w:jc w:val="left"/>
        <w:rPr>
          <w:rFonts w:ascii="仿宋" w:hAnsi="仿宋" w:eastAsia="仿宋"/>
          <w:bCs/>
          <w:szCs w:val="21"/>
        </w:rPr>
      </w:pPr>
      <w:r>
        <w:rPr>
          <w:rFonts w:hint="eastAsia" w:ascii="仿宋" w:hAnsi="仿宋" w:eastAsia="仿宋"/>
          <w:bCs/>
          <w:szCs w:val="21"/>
        </w:rPr>
        <w:t>注：1、参数不可与已获批采购预算有冲突，如有冲突以已批准采购文件为准</w:t>
      </w:r>
    </w:p>
    <w:p>
      <w:pPr>
        <w:ind w:firstLine="420"/>
        <w:jc w:val="left"/>
        <w:rPr>
          <w:rFonts w:ascii="仿宋" w:hAnsi="仿宋" w:eastAsia="仿宋"/>
          <w:bCs/>
          <w:szCs w:val="21"/>
        </w:rPr>
      </w:pPr>
      <w:r>
        <w:rPr>
          <w:rFonts w:hint="eastAsia" w:ascii="仿宋" w:hAnsi="仿宋" w:eastAsia="仿宋"/>
          <w:bCs/>
          <w:szCs w:val="21"/>
        </w:rPr>
        <w:t>2、不得含有排他性技术指标</w:t>
      </w:r>
    </w:p>
    <w:p>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pPr>
        <w:rPr>
          <w:rFonts w:ascii="仿宋" w:hAnsi="仿宋" w:eastAsia="仿宋"/>
          <w:bCs/>
          <w:sz w:val="18"/>
          <w:szCs w:val="18"/>
        </w:rPr>
      </w:pPr>
      <w:r>
        <w:rPr>
          <w:rFonts w:hint="eastAsia" w:ascii="仿宋" w:hAnsi="仿宋" w:eastAsia="仿宋"/>
          <w:bCs/>
          <w:sz w:val="18"/>
          <w:szCs w:val="18"/>
        </w:rPr>
        <w:br w:type="page"/>
      </w:r>
    </w:p>
    <w:p>
      <w:pPr>
        <w:jc w:val="center"/>
        <w:rPr>
          <w:rFonts w:ascii="宋体" w:hAnsi="宋体" w:eastAsia="宋体" w:cs="宋体"/>
          <w:b/>
          <w:sz w:val="36"/>
          <w:szCs w:val="36"/>
        </w:rPr>
      </w:pPr>
      <w:r>
        <w:rPr>
          <w:rFonts w:hint="eastAsia" w:ascii="宋体" w:hAnsi="宋体" w:eastAsia="宋体" w:cs="宋体"/>
          <w:b/>
          <w:bCs/>
          <w:sz w:val="36"/>
          <w:szCs w:val="36"/>
        </w:rPr>
        <w:t>珠海科技学院设备类采购合同</w:t>
      </w:r>
      <w:permStart w:id="0" w:edGrp="everyone"/>
      <w:permEnd w:id="0"/>
    </w:p>
    <w:p>
      <w:pPr>
        <w:ind w:firstLine="2773" w:firstLineChars="1151"/>
        <w:rPr>
          <w:rFonts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ascii="宋体" w:hAnsi="宋体" w:eastAsia="宋体" w:cs="宋体"/>
                <w:b/>
                <w:sz w:val="24"/>
              </w:rPr>
            </w:pPr>
            <w:r>
              <w:rPr>
                <w:rFonts w:hint="eastAsia" w:ascii="宋体" w:hAnsi="宋体" w:eastAsia="宋体" w:cs="宋体"/>
                <w:sz w:val="24"/>
              </w:rPr>
              <w:t>珠海科技学院</w:t>
            </w:r>
          </w:p>
        </w:tc>
        <w:tc>
          <w:tcPr>
            <w:tcW w:w="1559" w:type="dxa"/>
          </w:tcPr>
          <w:p>
            <w:pPr>
              <w:rPr>
                <w:rFonts w:ascii="宋体" w:hAnsi="宋体" w:eastAsia="宋体" w:cs="宋体"/>
                <w:b/>
                <w:sz w:val="24"/>
              </w:rPr>
            </w:pPr>
            <w:r>
              <w:rPr>
                <w:rFonts w:hint="eastAsia" w:ascii="宋体" w:hAnsi="宋体" w:eastAsia="宋体" w:cs="宋体"/>
                <w:sz w:val="24"/>
              </w:rPr>
              <w:t>合同编号：</w:t>
            </w:r>
          </w:p>
        </w:tc>
        <w:tc>
          <w:tcPr>
            <w:tcW w:w="2410" w:type="dxa"/>
          </w:tcPr>
          <w:p>
            <w:pPr>
              <w:rPr>
                <w:rFonts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ascii="宋体" w:hAnsi="宋体" w:eastAsia="宋体" w:cs="宋体"/>
                <w:sz w:val="24"/>
                <w:shd w:val="pct10" w:color="auto" w:fill="FFFFFF"/>
              </w:rPr>
            </w:pPr>
          </w:p>
        </w:tc>
        <w:tc>
          <w:tcPr>
            <w:tcW w:w="1559" w:type="dxa"/>
          </w:tcPr>
          <w:p>
            <w:pPr>
              <w:rPr>
                <w:rFonts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ascii="宋体" w:hAnsi="宋体" w:eastAsia="宋体" w:cs="宋体"/>
                <w:sz w:val="24"/>
              </w:rPr>
            </w:pPr>
            <w:r>
              <w:rPr>
                <w:rFonts w:hint="eastAsia" w:ascii="宋体" w:hAnsi="宋体" w:eastAsia="宋体" w:cs="宋体"/>
                <w:sz w:val="24"/>
              </w:rPr>
              <w:t>2023年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ascii="宋体" w:hAnsi="宋体" w:eastAsia="宋体" w:cs="宋体"/>
                <w:b/>
                <w:sz w:val="24"/>
              </w:rPr>
            </w:pPr>
          </w:p>
        </w:tc>
        <w:tc>
          <w:tcPr>
            <w:tcW w:w="3639" w:type="dxa"/>
          </w:tcPr>
          <w:p>
            <w:pPr>
              <w:ind w:firstLine="960" w:firstLineChars="400"/>
              <w:rPr>
                <w:rFonts w:ascii="宋体" w:hAnsi="宋体" w:eastAsia="宋体" w:cs="宋体"/>
                <w:sz w:val="24"/>
              </w:rPr>
            </w:pPr>
            <w:bookmarkStart w:id="2" w:name="yfdw"/>
            <w:bookmarkEnd w:id="2"/>
          </w:p>
        </w:tc>
        <w:tc>
          <w:tcPr>
            <w:tcW w:w="1559" w:type="dxa"/>
          </w:tcPr>
          <w:p>
            <w:pPr>
              <w:rPr>
                <w:rFonts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ascii="宋体" w:hAnsi="宋体" w:eastAsia="宋体" w:cs="宋体"/>
                <w:b/>
                <w:sz w:val="24"/>
              </w:rPr>
            </w:pPr>
            <w:r>
              <w:rPr>
                <w:rFonts w:hint="eastAsia" w:ascii="宋体" w:hAnsi="宋体" w:eastAsia="宋体" w:cs="宋体"/>
                <w:sz w:val="24"/>
              </w:rPr>
              <w:t>珠海科技学院</w:t>
            </w:r>
          </w:p>
        </w:tc>
      </w:tr>
    </w:tbl>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根据《中华人民共和国民法典》等有关法律,</w:t>
      </w:r>
      <w:bookmarkStart w:id="6" w:name="_GoBack"/>
      <w:bookmarkEnd w:id="6"/>
      <w:r>
        <w:rPr>
          <w:rFonts w:hint="eastAsia" w:ascii="宋体" w:hAnsi="宋体" w:eastAsia="宋体" w:cs="宋体"/>
          <w:sz w:val="24"/>
        </w:rPr>
        <w:t>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1"/>
        </w:numPr>
        <w:spacing w:line="360" w:lineRule="auto"/>
        <w:ind w:firstLineChars="0"/>
        <w:rPr>
          <w:rFonts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ascii="宋体" w:hAnsi="宋体" w:eastAsia="宋体" w:cs="宋体"/>
                <w:sz w:val="24"/>
              </w:rPr>
            </w:pPr>
            <w:r>
              <w:rPr>
                <w:rFonts w:hint="eastAsia" w:ascii="宋体" w:hAnsi="宋体" w:eastAsia="宋体" w:cs="宋体"/>
                <w:sz w:val="24"/>
              </w:rPr>
              <w:t>￥</w:t>
            </w:r>
          </w:p>
        </w:tc>
      </w:tr>
    </w:tbl>
    <w:p>
      <w:pPr>
        <w:spacing w:line="400" w:lineRule="exact"/>
        <w:jc w:val="left"/>
        <w:rPr>
          <w:rFonts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产品送达甲方指定地点：珠海科技学院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甲方：珠海科技学院（盖章）</w:t>
            </w:r>
          </w:p>
        </w:tc>
        <w:tc>
          <w:tcPr>
            <w:tcW w:w="4961" w:type="dxa"/>
          </w:tcPr>
          <w:p>
            <w:pPr>
              <w:spacing w:line="360" w:lineRule="auto"/>
              <w:rPr>
                <w:rFonts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ascii="宋体" w:hAnsi="宋体" w:eastAsia="宋体" w:cs="宋体"/>
                <w:b/>
                <w:sz w:val="24"/>
              </w:rPr>
            </w:pPr>
            <w:r>
              <w:rPr>
                <w:rFonts w:hint="eastAsia" w:ascii="宋体" w:hAnsi="宋体" w:eastAsia="宋体" w:cs="宋体"/>
                <w:sz w:val="24"/>
              </w:rPr>
              <w:t>地址：</w:t>
            </w:r>
            <w:permStart w:id="14" w:edGrp="everyone"/>
            <w:bookmarkStart w:id="4" w:name="yfyh"/>
            <w:bookmarkEnd w:id="4"/>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邮编：519000</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tc>
        <w:tc>
          <w:tcPr>
            <w:tcW w:w="4961" w:type="dxa"/>
          </w:tcPr>
          <w:p>
            <w:pPr>
              <w:spacing w:line="360" w:lineRule="auto"/>
              <w:rPr>
                <w:rFonts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ascii="宋体" w:hAnsi="宋体" w:eastAsia="宋体" w:cs="宋体"/>
                <w:sz w:val="24"/>
              </w:rPr>
            </w:pPr>
          </w:p>
          <w:p>
            <w:pPr>
              <w:spacing w:line="360" w:lineRule="auto"/>
              <w:rPr>
                <w:rFonts w:ascii="宋体" w:hAnsi="宋体" w:eastAsia="宋体" w:cs="宋体"/>
                <w:sz w:val="24"/>
              </w:rPr>
            </w:pPr>
          </w:p>
        </w:tc>
      </w:tr>
    </w:tbl>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ermStart w:id="19" w:edGrp="everyone"/>
    </w:p>
    <w:p>
      <w:pPr>
        <w:rPr>
          <w:rFonts w:ascii="宋体" w:hAnsi="宋体" w:eastAsia="宋体" w:cs="宋体"/>
          <w:sz w:val="24"/>
        </w:rPr>
      </w:pPr>
      <w:r>
        <w:rPr>
          <w:rFonts w:hint="eastAsia" w:ascii="宋体" w:hAnsi="宋体" w:eastAsia="宋体" w:cs="宋体"/>
          <w:sz w:val="24"/>
        </w:rPr>
        <w:t>附件</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ind w:left="960" w:hanging="960" w:hangingChars="400"/>
              <w:rPr>
                <w:rFonts w:ascii="宋体" w:hAnsi="宋体" w:eastAsia="宋体" w:cs="宋体"/>
                <w:sz w:val="24"/>
              </w:rPr>
            </w:pPr>
          </w:p>
        </w:tc>
        <w:tc>
          <w:tcPr>
            <w:tcW w:w="1701" w:type="dxa"/>
          </w:tcPr>
          <w:p>
            <w:pPr>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p>
        </w:tc>
        <w:tc>
          <w:tcPr>
            <w:tcW w:w="1560" w:type="dxa"/>
            <w:vAlign w:val="center"/>
          </w:tcPr>
          <w:p>
            <w:pPr>
              <w:jc w:val="center"/>
              <w:rPr>
                <w:rFonts w:ascii="宋体" w:hAnsi="宋体" w:eastAsia="宋体" w:cs="宋体"/>
                <w:sz w:val="24"/>
              </w:rPr>
            </w:pPr>
          </w:p>
        </w:tc>
        <w:tc>
          <w:tcPr>
            <w:tcW w:w="4677" w:type="dxa"/>
          </w:tcPr>
          <w:p>
            <w:pPr>
              <w:rPr>
                <w:rFonts w:ascii="宋体" w:hAnsi="宋体" w:eastAsia="宋体" w:cs="宋体"/>
                <w:sz w:val="24"/>
              </w:rPr>
            </w:pPr>
          </w:p>
        </w:tc>
        <w:tc>
          <w:tcPr>
            <w:tcW w:w="1701" w:type="dxa"/>
          </w:tcPr>
          <w:p>
            <w:pPr>
              <w:rPr>
                <w:rFonts w:ascii="宋体" w:hAnsi="宋体" w:eastAsia="宋体" w:cs="宋体"/>
                <w:sz w:val="24"/>
              </w:rPr>
            </w:pPr>
          </w:p>
        </w:tc>
      </w:tr>
    </w:tbl>
    <w:p>
      <w:pPr>
        <w:rPr>
          <w:rFonts w:ascii="宋体" w:hAnsi="宋体" w:eastAsia="宋体" w:cs="宋体"/>
          <w:sz w:val="24"/>
        </w:rPr>
      </w:pPr>
    </w:p>
    <w:permEnd w:id="19"/>
    <w:p>
      <w:pPr>
        <w:rPr>
          <w:rFonts w:ascii="宋体" w:hAnsi="宋体" w:eastAsia="宋体" w:cs="宋体"/>
          <w:b/>
          <w:sz w:val="28"/>
          <w:szCs w:val="28"/>
        </w:rPr>
      </w:pPr>
    </w:p>
    <w:p>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YTQzZDI0YjlmMGQ5MzJlYjdiOTkyZjk3NWE3Y2YifQ=="/>
  </w:docVars>
  <w:rsids>
    <w:rsidRoot w:val="00D136C1"/>
    <w:rsid w:val="00070038"/>
    <w:rsid w:val="002F4FCD"/>
    <w:rsid w:val="00501617"/>
    <w:rsid w:val="0082190A"/>
    <w:rsid w:val="00A13CFD"/>
    <w:rsid w:val="00D136C1"/>
    <w:rsid w:val="00F130C7"/>
    <w:rsid w:val="0C9B4413"/>
    <w:rsid w:val="12F865F2"/>
    <w:rsid w:val="14450678"/>
    <w:rsid w:val="2248574C"/>
    <w:rsid w:val="27680964"/>
    <w:rsid w:val="384D38BC"/>
    <w:rsid w:val="3DAD6937"/>
    <w:rsid w:val="3EEF484E"/>
    <w:rsid w:val="407F7D8B"/>
    <w:rsid w:val="43EC2AC2"/>
    <w:rsid w:val="460D598E"/>
    <w:rsid w:val="55A31FD5"/>
    <w:rsid w:val="62B32CD1"/>
    <w:rsid w:val="65811B4C"/>
    <w:rsid w:val="67BD4777"/>
    <w:rsid w:val="727662A7"/>
    <w:rsid w:val="77EE3145"/>
    <w:rsid w:val="79414CB1"/>
    <w:rsid w:val="D7EF913B"/>
    <w:rsid w:val="DF3F69C4"/>
    <w:rsid w:val="FFFF3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4853</Words>
  <Characters>5822</Characters>
  <Lines>43</Lines>
  <Paragraphs>12</Paragraphs>
  <TotalTime>0</TotalTime>
  <ScaleCrop>false</ScaleCrop>
  <LinksUpToDate>false</LinksUpToDate>
  <CharactersWithSpaces>5904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2021-07-01T07:57:00Z</dcterms:created>
  <dc:creator>李 一男</dc:creator>
  <cp:lastModifiedBy>xinner</cp:lastModifiedBy>
  <cp:lastPrinted>2024-01-04T10:56:00Z</cp:lastPrinted>
  <dcterms:modified xsi:type="dcterms:W3CDTF">2024-07-16T03:19:45Z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3EF397D817DA3AE93014AC62BB3E2CD6</vt:lpwstr>
  </property>
</Properties>
</file>