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s="仿宋"/>
                <w:b/>
                <w:bCs/>
                <w:sz w:val="24"/>
                <w:szCs w:val="24"/>
              </w:rPr>
            </w:pPr>
            <w:r>
              <w:rPr>
                <w:rFonts w:hint="eastAsia" w:ascii="仿宋" w:hAnsi="仿宋" w:eastAsia="仿宋" w:cs="仿宋"/>
                <w:b/>
                <w:bCs/>
                <w:sz w:val="24"/>
                <w:szCs w:val="24"/>
              </w:rPr>
              <w:t>项目名称</w:t>
            </w:r>
          </w:p>
        </w:tc>
        <w:tc>
          <w:tcPr>
            <w:tcW w:w="2752"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AGV货到人拣选系统</w:t>
            </w:r>
          </w:p>
        </w:tc>
        <w:tc>
          <w:tcPr>
            <w:tcW w:w="1626"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采购编号</w:t>
            </w:r>
          </w:p>
        </w:tc>
        <w:tc>
          <w:tcPr>
            <w:tcW w:w="2474" w:type="dxa"/>
            <w:gridSpan w:val="2"/>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s="仿宋"/>
                <w:b/>
                <w:bCs/>
                <w:sz w:val="24"/>
                <w:szCs w:val="24"/>
              </w:rPr>
            </w:pPr>
            <w:r>
              <w:rPr>
                <w:rFonts w:hint="eastAsia" w:ascii="仿宋" w:hAnsi="仿宋" w:eastAsia="仿宋" w:cs="仿宋"/>
                <w:b/>
                <w:bCs/>
                <w:sz w:val="24"/>
                <w:szCs w:val="24"/>
              </w:rPr>
              <w:t>供货时间</w:t>
            </w:r>
          </w:p>
        </w:tc>
        <w:tc>
          <w:tcPr>
            <w:tcW w:w="2752"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2024年9月1日</w:t>
            </w:r>
          </w:p>
        </w:tc>
        <w:tc>
          <w:tcPr>
            <w:tcW w:w="1626" w:type="dxa"/>
            <w:vAlign w:val="center"/>
          </w:tcPr>
          <w:p>
            <w:pPr>
              <w:jc w:val="center"/>
              <w:rPr>
                <w:rFonts w:ascii="仿宋" w:hAnsi="仿宋" w:eastAsia="仿宋" w:cs="仿宋"/>
                <w:b/>
                <w:bCs/>
                <w:sz w:val="24"/>
                <w:szCs w:val="24"/>
              </w:rPr>
            </w:pPr>
            <w:r>
              <w:rPr>
                <w:rFonts w:hint="eastAsia" w:ascii="仿宋" w:hAnsi="仿宋" w:eastAsia="仿宋" w:cs="仿宋"/>
                <w:b/>
                <w:bCs/>
                <w:sz w:val="24"/>
                <w:szCs w:val="24"/>
              </w:rPr>
              <w:t>供货地点</w:t>
            </w:r>
          </w:p>
        </w:tc>
        <w:tc>
          <w:tcPr>
            <w:tcW w:w="2474"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一教A102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s="仿宋"/>
                <w:b/>
                <w:bCs/>
                <w:sz w:val="24"/>
                <w:szCs w:val="24"/>
              </w:rPr>
            </w:pPr>
            <w:r>
              <w:rPr>
                <w:rFonts w:hint="eastAsia" w:ascii="仿宋" w:hAnsi="仿宋" w:eastAsia="仿宋" w:cs="仿宋"/>
                <w:b/>
                <w:bCs/>
                <w:sz w:val="24"/>
                <w:szCs w:val="24"/>
              </w:rPr>
              <w:t>售后服务要求</w:t>
            </w:r>
          </w:p>
        </w:tc>
        <w:tc>
          <w:tcPr>
            <w:tcW w:w="6852" w:type="dxa"/>
            <w:gridSpan w:val="4"/>
            <w:vAlign w:val="center"/>
          </w:tcPr>
          <w:p>
            <w:pPr>
              <w:pStyle w:val="10"/>
              <w:spacing w:line="540" w:lineRule="exact"/>
              <w:ind w:left="0" w:leftChars="0" w:firstLine="0" w:firstLineChars="0"/>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质保期为</w:t>
            </w:r>
            <w:r>
              <w:rPr>
                <w:rFonts w:hint="eastAsia" w:ascii="宋体" w:hAnsi="宋体" w:eastAsia="宋体" w:cs="宋体"/>
                <w:color w:val="000000" w:themeColor="text1"/>
                <w:sz w:val="24"/>
                <w:lang w:val="en-US" w:eastAsia="zh-CN"/>
                <w14:textFill>
                  <w14:solidFill>
                    <w14:schemeClr w14:val="tx1"/>
                  </w14:solidFill>
                </w14:textFill>
              </w:rPr>
              <w:t>3</w:t>
            </w:r>
            <w:r>
              <w:rPr>
                <w:rFonts w:hint="eastAsia" w:ascii="宋体" w:hAnsi="宋体" w:eastAsia="宋体" w:cs="宋体"/>
                <w:color w:val="000000" w:themeColor="text1"/>
                <w:sz w:val="24"/>
                <w:lang w:eastAsia="zh-CN"/>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三年内提供配套软件免费升级。</w:t>
            </w:r>
          </w:p>
          <w:p>
            <w:pPr>
              <w:pStyle w:val="10"/>
              <w:spacing w:line="540" w:lineRule="exact"/>
              <w:ind w:left="0" w:leftChars="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s="仿宋"/>
                <w:b/>
                <w:bCs/>
                <w:sz w:val="24"/>
                <w:szCs w:val="24"/>
              </w:rPr>
            </w:pPr>
            <w:r>
              <w:rPr>
                <w:rFonts w:hint="eastAsia" w:ascii="仿宋" w:hAnsi="仿宋" w:eastAsia="仿宋" w:cs="仿宋"/>
                <w:b/>
                <w:bCs/>
                <w:sz w:val="24"/>
                <w:szCs w:val="24"/>
              </w:rPr>
              <w:t>安装调试要求</w:t>
            </w:r>
          </w:p>
        </w:tc>
        <w:tc>
          <w:tcPr>
            <w:tcW w:w="6852" w:type="dxa"/>
            <w:gridSpan w:val="4"/>
            <w:vAlign w:val="center"/>
          </w:tcPr>
          <w:p>
            <w:pPr>
              <w:rPr>
                <w:rFonts w:ascii="仿宋" w:hAnsi="仿宋" w:eastAsia="仿宋" w:cs="仿宋"/>
                <w:sz w:val="24"/>
                <w:szCs w:val="24"/>
              </w:rPr>
            </w:pPr>
            <w:r>
              <w:rPr>
                <w:rFonts w:hint="eastAsia"/>
              </w:rPr>
              <w:t>无对装修、水、气、防尘、防潮、防磁防震等方面的设施、设备配套需求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ascii="仿宋" w:hAnsi="仿宋" w:eastAsia="仿宋" w:cs="仿宋"/>
                <w:b/>
                <w:bCs/>
                <w:sz w:val="24"/>
                <w:szCs w:val="24"/>
              </w:rPr>
            </w:pPr>
            <w:r>
              <w:rPr>
                <w:rFonts w:hint="eastAsia" w:ascii="仿宋" w:hAnsi="仿宋" w:eastAsia="仿宋" w:cs="仿宋"/>
                <w:b/>
                <w:bCs/>
                <w:sz w:val="24"/>
                <w:szCs w:val="24"/>
              </w:rPr>
              <w:t>验收、付款方式</w:t>
            </w:r>
          </w:p>
        </w:tc>
        <w:tc>
          <w:tcPr>
            <w:tcW w:w="6852" w:type="dxa"/>
            <w:gridSpan w:val="4"/>
          </w:tcPr>
          <w:p>
            <w:pPr>
              <w:rPr>
                <w:rFonts w:ascii="仿宋" w:hAnsi="仿宋" w:eastAsia="仿宋" w:cs="仿宋"/>
                <w:sz w:val="24"/>
                <w:szCs w:val="24"/>
              </w:rPr>
            </w:pPr>
            <w:r>
              <w:rPr>
                <w:rFonts w:hint="eastAsia" w:ascii="仿宋" w:hAnsi="仿宋" w:eastAsia="仿宋" w:cs="仿宋"/>
                <w:sz w:val="24"/>
                <w:szCs w:val="24"/>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hint="eastAsia" w:ascii="仿宋" w:hAnsi="仿宋" w:eastAsia="仿宋" w:cs="仿宋"/>
                <w:sz w:val="24"/>
                <w:szCs w:val="24"/>
              </w:rPr>
            </w:pPr>
            <w:r>
              <w:rPr>
                <w:rFonts w:hint="eastAsia" w:ascii="仿宋" w:hAnsi="仿宋" w:eastAsia="仿宋" w:cs="仿宋"/>
                <w:b/>
                <w:bCs/>
                <w:sz w:val="24"/>
                <w:szCs w:val="24"/>
              </w:rPr>
              <w:t>项目概述</w:t>
            </w:r>
            <w:r>
              <w:rPr>
                <w:rFonts w:hint="eastAsia" w:ascii="仿宋" w:hAnsi="仿宋" w:eastAsia="仿宋" w:cs="仿宋"/>
                <w:sz w:val="24"/>
                <w:szCs w:val="24"/>
              </w:rPr>
              <w:t>：</w:t>
            </w:r>
          </w:p>
          <w:p>
            <w:pPr>
              <w:ind w:firstLine="420" w:firstLineChars="200"/>
              <w:rPr>
                <w:rFonts w:ascii="宋体" w:hAnsi="宋体"/>
                <w:szCs w:val="21"/>
                <w:highlight w:val="none"/>
              </w:rPr>
            </w:pPr>
            <w:r>
              <w:rPr>
                <w:rFonts w:hint="eastAsia" w:ascii="宋体" w:hAnsi="宋体"/>
                <w:szCs w:val="21"/>
                <w:highlight w:val="none"/>
              </w:rPr>
              <w:t>项目建成后将服务于现代物流管理专业（群），本项目的建设是现代物流管理专业建设的重要一环，它可以与其他课程形成互补，完善专业课程的建设，提高整个专业的教学质量。项目的建立可以满足学生在实际操作中学习和掌握智慧物流中“AGV搬运机器人拣选”技能，提升实际操作能力，以便更好地理解和应对智慧物流供应链企业环境中的各种问题，为未来的职业发展奠定坚实基础。</w:t>
            </w:r>
          </w:p>
          <w:p>
            <w:pPr>
              <w:ind w:firstLine="420" w:firstLineChars="200"/>
              <w:rPr>
                <w:rFonts w:ascii="宋体" w:hAnsi="宋体"/>
                <w:szCs w:val="21"/>
                <w:highlight w:val="none"/>
              </w:rPr>
            </w:pPr>
            <w:r>
              <w:rPr>
                <w:rFonts w:hint="eastAsia" w:ascii="宋体" w:hAnsi="宋体"/>
                <w:szCs w:val="21"/>
                <w:highlight w:val="none"/>
              </w:rPr>
              <w:t>项目建成后</w:t>
            </w:r>
            <w:r>
              <w:rPr>
                <w:rFonts w:ascii="宋体" w:hAnsi="宋体"/>
                <w:szCs w:val="21"/>
                <w:highlight w:val="none"/>
              </w:rPr>
              <w:t>将服务多门与</w:t>
            </w:r>
            <w:r>
              <w:rPr>
                <w:rFonts w:hint="eastAsia" w:ascii="宋体" w:hAnsi="宋体"/>
                <w:szCs w:val="21"/>
                <w:highlight w:val="none"/>
              </w:rPr>
              <w:t>智慧物流货到人拣选</w:t>
            </w:r>
            <w:r>
              <w:rPr>
                <w:rFonts w:ascii="宋体" w:hAnsi="宋体"/>
                <w:szCs w:val="21"/>
                <w:highlight w:val="none"/>
              </w:rPr>
              <w:t>相关的课程，</w:t>
            </w:r>
            <w:r>
              <w:rPr>
                <w:rFonts w:hint="eastAsia" w:ascii="宋体" w:hAnsi="宋体"/>
                <w:szCs w:val="21"/>
                <w:highlight w:val="none"/>
              </w:rPr>
              <w:t>如货到</w:t>
            </w:r>
            <w:r>
              <w:rPr>
                <w:rFonts w:hint="eastAsia"/>
                <w:highlight w:val="none"/>
              </w:rPr>
              <w:t>人拣选系统认知、货到人系统路线规划、货到人系统货架布局规划、货到人系统补货作业、货到人系统拣选订单波次处理、货到人拣选作业、车辆调度管理</w:t>
            </w:r>
            <w:r>
              <w:rPr>
                <w:rFonts w:ascii="宋体" w:hAnsi="宋体"/>
                <w:szCs w:val="21"/>
                <w:highlight w:val="none"/>
              </w:rPr>
              <w:t>等。这些课程的学习需要学生具备实际操作和实践经验，而</w:t>
            </w:r>
            <w:r>
              <w:rPr>
                <w:rFonts w:hint="eastAsia" w:ascii="宋体" w:hAnsi="宋体"/>
                <w:szCs w:val="21"/>
                <w:highlight w:val="none"/>
              </w:rPr>
              <w:t>本项目</w:t>
            </w:r>
            <w:r>
              <w:rPr>
                <w:rFonts w:ascii="宋体" w:hAnsi="宋体"/>
                <w:szCs w:val="21"/>
                <w:highlight w:val="none"/>
              </w:rPr>
              <w:t>的建立将为学生提供这样的平台。学生可以在实训室内进行实际操作</w:t>
            </w:r>
            <w:r>
              <w:rPr>
                <w:rFonts w:hint="eastAsia" w:ascii="宋体" w:hAnsi="宋体"/>
                <w:szCs w:val="21"/>
                <w:highlight w:val="none"/>
              </w:rPr>
              <w:t>，</w:t>
            </w:r>
            <w:r>
              <w:rPr>
                <w:rFonts w:ascii="宋体" w:hAnsi="宋体"/>
                <w:szCs w:val="21"/>
                <w:highlight w:val="none"/>
              </w:rPr>
              <w:t>加深对课程知识的理解和应用，提高学习效果。</w:t>
            </w:r>
          </w:p>
          <w:p>
            <w:pPr>
              <w:ind w:firstLine="420" w:firstLineChars="200"/>
              <w:rPr>
                <w:rFonts w:ascii="宋体" w:hAnsi="宋体"/>
                <w:szCs w:val="21"/>
                <w:highlight w:val="none"/>
              </w:rPr>
            </w:pPr>
            <w:r>
              <w:rPr>
                <w:rFonts w:hint="eastAsia" w:ascii="宋体" w:hAnsi="宋体"/>
                <w:szCs w:val="21"/>
                <w:highlight w:val="none"/>
              </w:rPr>
              <w:t>我校现代物流管理专业开设及发展一直致力于学生专业技能培养，毕业学生在专业技能方面在校期间能够有较全面的练习及训练，岗位实践技能需要有相关设备及场地进行训练，才能实现校企之间无缝衔接。</w:t>
            </w:r>
          </w:p>
          <w:p>
            <w:pPr>
              <w:ind w:firstLine="420" w:firstLineChars="200"/>
              <w:rPr>
                <w:rFonts w:ascii="宋体" w:hAnsi="宋体"/>
                <w:szCs w:val="21"/>
                <w:highlight w:val="none"/>
              </w:rPr>
            </w:pPr>
            <w:r>
              <w:rPr>
                <w:rFonts w:hint="eastAsia" w:ascii="宋体" w:hAnsi="宋体"/>
                <w:szCs w:val="21"/>
                <w:highlight w:val="none"/>
              </w:rPr>
              <w:t>项目建成后</w:t>
            </w:r>
            <w:r>
              <w:rPr>
                <w:rFonts w:ascii="宋体" w:hAnsi="宋体"/>
                <w:szCs w:val="21"/>
                <w:highlight w:val="none"/>
              </w:rPr>
              <w:t>不仅可以为校内学生提供实训服务</w:t>
            </w:r>
            <w:r>
              <w:rPr>
                <w:rFonts w:hint="eastAsia" w:ascii="宋体" w:hAnsi="宋体"/>
                <w:szCs w:val="21"/>
                <w:highlight w:val="none"/>
              </w:rPr>
              <w:t>，</w:t>
            </w:r>
            <w:r>
              <w:rPr>
                <w:rFonts w:ascii="宋体" w:hAnsi="宋体"/>
                <w:szCs w:val="21"/>
                <w:highlight w:val="none"/>
              </w:rPr>
              <w:t>还可以接收</w:t>
            </w:r>
            <w:r>
              <w:rPr>
                <w:rFonts w:hint="eastAsia" w:ascii="宋体" w:hAnsi="宋体"/>
                <w:szCs w:val="21"/>
                <w:highlight w:val="none"/>
              </w:rPr>
              <w:t>珠海市</w:t>
            </w:r>
            <w:r>
              <w:rPr>
                <w:rFonts w:ascii="宋体" w:hAnsi="宋体"/>
                <w:szCs w:val="21"/>
                <w:highlight w:val="none"/>
              </w:rPr>
              <w:t>及周边学校的学生实训和师资培训任务</w:t>
            </w:r>
            <w:r>
              <w:rPr>
                <w:rFonts w:hint="eastAsia" w:ascii="宋体" w:hAnsi="宋体"/>
                <w:szCs w:val="21"/>
                <w:highlight w:val="none"/>
              </w:rPr>
              <w:t>。另外，</w:t>
            </w:r>
            <w:r>
              <w:rPr>
                <w:rFonts w:ascii="宋体" w:hAnsi="宋体"/>
                <w:szCs w:val="21"/>
                <w:highlight w:val="none"/>
              </w:rPr>
              <w:t>还可以承接来自企业、政府或其他机构的</w:t>
            </w:r>
            <w:r>
              <w:rPr>
                <w:rFonts w:hint="eastAsia" w:ascii="宋体" w:hAnsi="宋体"/>
                <w:szCs w:val="21"/>
                <w:highlight w:val="none"/>
              </w:rPr>
              <w:t>智慧物流规划设计</w:t>
            </w:r>
            <w:r>
              <w:rPr>
                <w:rFonts w:ascii="宋体" w:hAnsi="宋体"/>
                <w:szCs w:val="21"/>
                <w:highlight w:val="none"/>
              </w:rPr>
              <w:t>项目</w:t>
            </w:r>
            <w:r>
              <w:rPr>
                <w:rFonts w:hint="eastAsia" w:ascii="宋体" w:hAnsi="宋体"/>
                <w:szCs w:val="21"/>
                <w:highlight w:val="none"/>
              </w:rPr>
              <w:t>，</w:t>
            </w:r>
            <w:r>
              <w:rPr>
                <w:rFonts w:ascii="宋体" w:hAnsi="宋体"/>
                <w:szCs w:val="21"/>
                <w:highlight w:val="none"/>
              </w:rPr>
              <w:t>为</w:t>
            </w:r>
            <w:r>
              <w:rPr>
                <w:rFonts w:hint="eastAsia" w:ascii="宋体" w:hAnsi="宋体"/>
                <w:szCs w:val="21"/>
                <w:highlight w:val="none"/>
              </w:rPr>
              <w:t>企业</w:t>
            </w:r>
            <w:r>
              <w:rPr>
                <w:rFonts w:ascii="宋体" w:hAnsi="宋体"/>
                <w:szCs w:val="21"/>
                <w:highlight w:val="none"/>
              </w:rPr>
              <w:t>提供数据分析服务</w:t>
            </w:r>
            <w:r>
              <w:rPr>
                <w:rFonts w:hint="eastAsia" w:ascii="宋体" w:hAnsi="宋体"/>
                <w:szCs w:val="21"/>
                <w:highlight w:val="none"/>
              </w:rPr>
              <w:t>，</w:t>
            </w:r>
            <w:r>
              <w:rPr>
                <w:rFonts w:ascii="宋体" w:hAnsi="宋体"/>
                <w:szCs w:val="21"/>
                <w:highlight w:val="none"/>
              </w:rPr>
              <w:t>帮助企业解决经营中的实际问题</w:t>
            </w:r>
            <w:r>
              <w:rPr>
                <w:rFonts w:hint="eastAsia" w:ascii="宋体" w:hAnsi="宋体"/>
                <w:szCs w:val="21"/>
                <w:highlight w:val="none"/>
              </w:rPr>
              <w:t>，这样</w:t>
            </w:r>
            <w:r>
              <w:rPr>
                <w:rFonts w:ascii="宋体" w:hAnsi="宋体"/>
                <w:szCs w:val="21"/>
                <w:highlight w:val="none"/>
              </w:rPr>
              <w:t>也可以为学校带来一定的</w:t>
            </w:r>
            <w:r>
              <w:rPr>
                <w:rFonts w:hint="eastAsia" w:ascii="宋体" w:hAnsi="宋体"/>
                <w:szCs w:val="21"/>
                <w:highlight w:val="none"/>
              </w:rPr>
              <w:t>横向课题经费</w:t>
            </w:r>
            <w:r>
              <w:rPr>
                <w:rFonts w:ascii="宋体" w:hAnsi="宋体"/>
                <w:szCs w:val="21"/>
                <w:highlight w:val="none"/>
              </w:rPr>
              <w:t>，实现产学研的有机结合。</w:t>
            </w:r>
          </w:p>
          <w:p>
            <w:pPr>
              <w:ind w:firstLine="420" w:firstLineChars="200"/>
            </w:pPr>
            <w:r>
              <w:rPr>
                <w:b/>
                <w:bCs/>
              </w:rPr>
              <w:t>“货到人”拣选系统</w:t>
            </w:r>
            <w:r>
              <w:t>正成为</w:t>
            </w:r>
            <w:r>
              <w:rPr>
                <w:rFonts w:hint="eastAsia"/>
              </w:rPr>
              <w:t>物流</w:t>
            </w:r>
            <w:r>
              <w:t>行业主流，所谓“货到人”拣选系统，简单来说就是在物流中心的拣选作业过程中，由自动化物流系统将货物搬运至固定站点以供拣选，即，货动，人不动。它既大幅度减少了拣选作业人员的行走距离，实现了高于“人到货”模式数倍的拣选效率，大幅度降低了劳动强度，有在存储密度、节省人力等方面拥有突出优势。</w:t>
            </w:r>
            <w:r>
              <w:rPr>
                <w:rFonts w:hint="eastAsia"/>
              </w:rPr>
              <w:t>货到人系统最早在亚马逊配送中心应用，经过近些年发展在国内应用广泛，以京东、菜鸟等头部企业已经实现了无人仓应用。</w:t>
            </w:r>
          </w:p>
          <w:p>
            <w:pPr>
              <w:ind w:firstLine="420" w:firstLineChars="200"/>
            </w:pPr>
            <w:r>
              <w:rPr>
                <w:rFonts w:hint="eastAsia"/>
                <w:b/>
                <w:bCs/>
              </w:rPr>
              <w:t>系统组成：</w:t>
            </w:r>
            <w:r>
              <w:rPr>
                <w:rFonts w:hint="eastAsia"/>
              </w:rPr>
              <w:t>AGV货到人拣选系统主要由</w:t>
            </w:r>
            <w:r>
              <w:rPr>
                <w:rFonts w:hint="eastAsia" w:ascii="宋体" w:hAnsi="宋体" w:cs="宋体"/>
                <w:kern w:val="0"/>
                <w:sz w:val="18"/>
                <w:szCs w:val="18"/>
              </w:rPr>
              <w:t>潜伏式AGV搬运机器人</w:t>
            </w:r>
            <w:r>
              <w:rPr>
                <w:rFonts w:hint="eastAsia"/>
              </w:rPr>
              <w:t>、</w:t>
            </w:r>
            <w:r>
              <w:rPr>
                <w:rFonts w:hint="eastAsia" w:ascii="宋体" w:hAnsi="宋体" w:cs="宋体"/>
                <w:kern w:val="0"/>
                <w:sz w:val="18"/>
                <w:szCs w:val="18"/>
              </w:rPr>
              <w:t>自动充电桩、货到人货架</w:t>
            </w:r>
            <w:r>
              <w:rPr>
                <w:rFonts w:hint="eastAsia"/>
              </w:rPr>
              <w:t>、RCS系统等硬件、软件系统组成。以人工智能算法软件系统为核心，在工作站完成包括上架拣选、补货、退货、盘点等仓库内全部作业流程。</w:t>
            </w:r>
          </w:p>
          <w:p>
            <w:pPr>
              <w:ind w:firstLine="420" w:firstLineChars="200"/>
              <w:rPr>
                <w:rFonts w:ascii="仿宋" w:hAnsi="仿宋" w:eastAsia="仿宋" w:cs="仿宋"/>
                <w:sz w:val="24"/>
                <w:szCs w:val="24"/>
              </w:rPr>
            </w:pPr>
            <w:r>
              <w:rPr>
                <w:rFonts w:hint="eastAsia"/>
                <w:b/>
                <w:bCs/>
              </w:rPr>
              <w:t>智能调度系统：</w:t>
            </w:r>
            <w:r>
              <w:rPr>
                <w:rFonts w:hint="eastAsia"/>
              </w:rPr>
              <w:t>支持仓储物流、生产制造、线边物流配送等业务场景，不同的业务场景仅需通过简单配置即可实现。拥有数字化、图形化的中央控制管理平台，可以直观地监控全场的运行状况。通过AI人工智能算法，在路径规划、交通控制、运筹调度、计算优化等多个核心算法上有极大的提升，能够支持多仓、多库区等大规模调度场景，实现了多ＡＧＶ设备集群化智能调度，海量订单的批量动态处理，大数据分析及货架按热度自动移位，高效充分利用AGV运力，保证订单和任务的快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仿宋" w:hAnsi="仿宋" w:eastAsia="仿宋" w:cs="仿宋"/>
                <w:b/>
                <w:sz w:val="24"/>
                <w:szCs w:val="24"/>
              </w:rPr>
            </w:pPr>
            <w:r>
              <w:rPr>
                <w:rFonts w:hint="eastAsia" w:ascii="仿宋" w:hAnsi="仿宋" w:eastAsia="仿宋" w:cs="仿宋"/>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1431" w:type="dxa"/>
            <w:vAlign w:val="center"/>
          </w:tcPr>
          <w:p>
            <w:pPr>
              <w:jc w:val="center"/>
              <w:rPr>
                <w:rFonts w:ascii="仿宋" w:hAnsi="仿宋" w:eastAsia="仿宋" w:cs="仿宋"/>
                <w:sz w:val="24"/>
                <w:szCs w:val="24"/>
              </w:rPr>
            </w:pPr>
            <w:r>
              <w:rPr>
                <w:rFonts w:hint="eastAsia" w:ascii="仿宋" w:hAnsi="仿宋" w:eastAsia="仿宋" w:cs="仿宋"/>
                <w:sz w:val="24"/>
                <w:szCs w:val="24"/>
              </w:rPr>
              <w:t>指标名称</w:t>
            </w:r>
          </w:p>
        </w:tc>
        <w:tc>
          <w:tcPr>
            <w:tcW w:w="5752" w:type="dxa"/>
            <w:gridSpan w:val="3"/>
            <w:vAlign w:val="center"/>
          </w:tcPr>
          <w:p>
            <w:pPr>
              <w:jc w:val="center"/>
              <w:rPr>
                <w:rFonts w:ascii="仿宋" w:hAnsi="仿宋" w:eastAsia="仿宋" w:cs="仿宋"/>
                <w:sz w:val="24"/>
                <w:szCs w:val="24"/>
              </w:rPr>
            </w:pPr>
            <w:r>
              <w:rPr>
                <w:rFonts w:hint="eastAsia" w:ascii="仿宋" w:hAnsi="仿宋" w:eastAsia="仿宋" w:cs="仿宋"/>
                <w:sz w:val="24"/>
                <w:szCs w:val="24"/>
              </w:rPr>
              <w:t>参数明细</w:t>
            </w:r>
          </w:p>
        </w:tc>
        <w:tc>
          <w:tcPr>
            <w:tcW w:w="1100" w:type="dxa"/>
            <w:vAlign w:val="center"/>
          </w:tcPr>
          <w:p>
            <w:pPr>
              <w:jc w:val="center"/>
              <w:rPr>
                <w:rFonts w:ascii="仿宋" w:hAnsi="仿宋" w:eastAsia="仿宋" w:cs="仿宋"/>
                <w:sz w:val="24"/>
                <w:szCs w:val="24"/>
              </w:rPr>
            </w:pPr>
            <w:r>
              <w:rPr>
                <w:rFonts w:hint="eastAsia" w:ascii="仿宋" w:hAnsi="仿宋" w:eastAsia="仿宋"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潜伏式AGV搬运机器人</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参数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尺寸 940*712*240mm</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旋转直径 940mm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自重 145kg ，额定负载 600kg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顶升高度 55mm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导航方式：二维码导航，</w:t>
            </w:r>
            <w:r>
              <w:rPr>
                <w:rFonts w:ascii="宋体" w:hAnsi="宋体" w:eastAsia="宋体" w:cs="宋体"/>
                <w:color w:val="000000"/>
                <w:kern w:val="0"/>
                <w:sz w:val="16"/>
                <w:szCs w:val="16"/>
                <w:lang w:bidi="ar"/>
              </w:rPr>
              <w:t>双轮差速，</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底盘结构：铝合金+浮动底盘</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鼎升结构：连杆结构</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移动速度：空载速度2.0m/s，满载速度，1.5m/s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驱动方式 双轮差速</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运动控制：支持原地旋转，弧形转弯、U 型转弯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导航精度定位精度 ±10mm ，停止精度 ±5mm ，停止角精度 ±1°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额定续航9h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充电时间 1.2h（30A 充电）自主充电；支持快速更换电池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通过性能过沟能力 ：采用悬挂式设计，过沟能力：≤30mm ，过坎能力 ≤5mm ，过坡能力 ≤5%（2.8°）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环境参数使用温度 ，-10-45℃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噪声 ≤75dB</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产品生产商具有“</w:t>
            </w:r>
            <w:r>
              <w:rPr>
                <w:rFonts w:ascii="宋体" w:hAnsi="宋体" w:eastAsia="宋体" w:cs="宋体"/>
                <w:color w:val="000000"/>
                <w:kern w:val="0"/>
                <w:sz w:val="16"/>
                <w:szCs w:val="16"/>
                <w:lang w:bidi="ar"/>
              </w:rPr>
              <w:t>基于二维码解码的快速定位识别的方法</w:t>
            </w:r>
            <w:r>
              <w:rPr>
                <w:rFonts w:hint="eastAsia" w:ascii="宋体" w:hAnsi="宋体" w:eastAsia="宋体" w:cs="宋体"/>
                <w:color w:val="000000"/>
                <w:kern w:val="0"/>
                <w:sz w:val="16"/>
                <w:szCs w:val="16"/>
                <w:lang w:bidi="ar"/>
              </w:rPr>
              <w:t>”相关的专利证书</w:t>
            </w:r>
          </w:p>
          <w:p>
            <w:pPr>
              <w:widowControl/>
              <w:adjustRightInd w:val="0"/>
              <w:snapToGrid w:val="0"/>
              <w:spacing w:line="360" w:lineRule="auto"/>
              <w:jc w:val="left"/>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18、产品生产商具有“</w:t>
            </w:r>
            <w:r>
              <w:rPr>
                <w:rFonts w:ascii="宋体" w:hAnsi="宋体" w:eastAsia="宋体" w:cs="宋体"/>
                <w:color w:val="000000"/>
                <w:kern w:val="0"/>
                <w:sz w:val="16"/>
                <w:szCs w:val="16"/>
                <w:lang w:bidi="ar"/>
              </w:rPr>
              <w:t>二维码的编解码系统、生成方法及装置、识别方法及</w:t>
            </w:r>
            <w:r>
              <w:rPr>
                <w:rFonts w:hint="eastAsia" w:ascii="宋体" w:hAnsi="宋体" w:eastAsia="宋体" w:cs="宋体"/>
                <w:color w:val="000000"/>
                <w:kern w:val="0"/>
                <w:sz w:val="16"/>
                <w:szCs w:val="16"/>
                <w:lang w:bidi="ar"/>
              </w:rPr>
              <w:t>装置”相关的专利证书</w:t>
            </w:r>
          </w:p>
        </w:tc>
        <w:tc>
          <w:tcPr>
            <w:tcW w:w="1100" w:type="dxa"/>
            <w:vAlign w:val="center"/>
          </w:tcPr>
          <w:p>
            <w:pPr>
              <w:jc w:val="center"/>
              <w:rPr>
                <w:rFonts w:ascii="仿宋" w:hAnsi="仿宋" w:eastAsia="仿宋" w:cs="仿宋"/>
                <w:color w:val="FF0000"/>
                <w:sz w:val="24"/>
                <w:szCs w:val="24"/>
              </w:rPr>
            </w:pPr>
            <w:r>
              <w:rPr>
                <w:rFonts w:hint="eastAsia" w:ascii="仿宋" w:hAnsi="仿宋" w:eastAsia="仿宋" w:cs="仿宋"/>
                <w:color w:val="FF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充电桩</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1.尺寸 500*350*660mm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2.系统输 入特性 供电方式 单相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3.额定输入电压（V） 220Vac ，输入电压范围（V） 198Vac~242Vac ，输入功率（W） 2000W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4.交流电网频率（Hz） 45Hz~55Hz ，系统输出特性 输出功率(kW) ，1.8kW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5.输出额定电压（V），42Vdc～58Vdc ，输出电流（A） 0～30A ，效率 ≥90%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6.过载能力 110% 额定功率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7.保护功能：电池反接保护 ，输出侧电压&lt;5V 100ms 内切断输出继电器 ，输出短路保护 ，输出电流&gt;35A 100ms 内停机 ，输出过压保护 ，电池电压&gt;60V ，100ms 内停机 ，过温保护 ，内部温度&gt;75℃ 暂停输出 ，异常保护；功率器件异常则保护关机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8.工作环境温度 :-10℃～+45℃ ，存储温度 ；-40℃～+75℃ ，相对湿度 ；20～80%，无凝露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9.海拔 :2000m 满载输出</w:t>
            </w:r>
          </w:p>
          <w:p>
            <w:pP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10．产品生产商具有“</w:t>
            </w:r>
            <w:r>
              <w:rPr>
                <w:rFonts w:ascii="宋体" w:hAnsi="宋体" w:eastAsia="宋体" w:cs="宋体"/>
                <w:color w:val="000000"/>
                <w:kern w:val="0"/>
                <w:sz w:val="16"/>
                <w:szCs w:val="16"/>
                <w:lang w:bidi="ar"/>
              </w:rPr>
              <w:t>接触式自动充电系统</w:t>
            </w:r>
            <w:r>
              <w:rPr>
                <w:rFonts w:hint="eastAsia" w:ascii="宋体" w:hAnsi="宋体" w:eastAsia="宋体" w:cs="宋体"/>
                <w:color w:val="000000"/>
                <w:kern w:val="0"/>
                <w:sz w:val="16"/>
                <w:szCs w:val="16"/>
                <w:lang w:bidi="ar"/>
              </w:rPr>
              <w:t>”相关的专利证书</w:t>
            </w:r>
          </w:p>
        </w:tc>
        <w:tc>
          <w:tcPr>
            <w:tcW w:w="1100"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货到人货架</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货架尺寸：900mm*900mm*2400mm,</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★喷塑后按照GB/T9286-1998中规定的实验方法，实验结果等级≤1级； </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自重不超过70kg，底盘承重500kg，2-4层每层承重100kg，层板满载垂直方向最大弹性变形不超过5mm； 底管塞安装牢固，不得脱落; </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货架满载均载，最上沿相对于底部偏移距离不超过6mm；货架满载偏载，最上沿相对于底部偏移距离不超过8mm； </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整体货架固定安装后，受外力时无明显晃动，横梁与层板安装后无明显晃动，满载整体无明显变形及凹陷等缺陷； </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横梁最上沿高出层板10毫米，满载后横梁垂直方向最大弹性变形不超过3mm，横梁外翻变形不超过3mm； </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 xml:space="preserve">材料规格：底座40×40×2，立柱33×33×2、葫芦口间距为36，层板、底板、层板加强筋0.6mm； </w:t>
            </w:r>
          </w:p>
          <w:p>
            <w:pPr>
              <w:numPr>
                <w:ilvl w:val="0"/>
                <w:numId w:val="2"/>
              </w:numPr>
              <w:adjustRightInd w:val="0"/>
              <w:snapToGrid w:val="0"/>
              <w:spacing w:line="360" w:lineRule="auto"/>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产品生产商具有“</w:t>
            </w:r>
            <w:r>
              <w:rPr>
                <w:rFonts w:ascii="宋体" w:hAnsi="宋体" w:eastAsia="宋体" w:cs="宋体"/>
                <w:color w:val="000000"/>
                <w:kern w:val="0"/>
                <w:sz w:val="16"/>
                <w:szCs w:val="16"/>
                <w:lang w:bidi="ar"/>
              </w:rPr>
              <w:t>防脱落装置货架</w:t>
            </w:r>
            <w:r>
              <w:rPr>
                <w:rFonts w:hint="eastAsia" w:ascii="宋体" w:hAnsi="宋体" w:eastAsia="宋体" w:cs="宋体"/>
                <w:color w:val="000000"/>
                <w:kern w:val="0"/>
                <w:sz w:val="16"/>
                <w:szCs w:val="16"/>
                <w:lang w:bidi="ar"/>
              </w:rPr>
              <w:t>”相关的专利证书</w:t>
            </w:r>
          </w:p>
        </w:tc>
        <w:tc>
          <w:tcPr>
            <w:tcW w:w="1100"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1431" w:type="dxa"/>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RCS调度系统</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1.配置中心：</w:t>
            </w:r>
            <w:r>
              <w:rPr>
                <w:rFonts w:ascii="宋体" w:hAnsi="宋体" w:eastAsia="宋体" w:cs="宋体"/>
                <w:color w:val="000000"/>
                <w:kern w:val="0"/>
                <w:sz w:val="16"/>
                <w:szCs w:val="16"/>
                <w:lang w:bidi="ar"/>
              </w:rPr>
              <w:t>机器人管理、充电桩管理</w:t>
            </w: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参数配置、系统配置、模式配置、服务端指令层配置</w:t>
            </w: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状态管理、指令管理、注册管理</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可视化管理：实时并可视化展现仓库地图，在系统上可以对仓库中所有系统元素（机器人，货架，工作站，充电桩，订单任务，后台日志等）进行实时的查看，方便现场的运维人员进行实时的管理；（提供软件功能截图）</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3.任务管理：</w:t>
            </w:r>
            <w:r>
              <w:rPr>
                <w:rFonts w:ascii="宋体" w:hAnsi="宋体" w:eastAsia="宋体" w:cs="宋体"/>
                <w:color w:val="000000"/>
                <w:kern w:val="0"/>
                <w:sz w:val="16"/>
                <w:szCs w:val="16"/>
                <w:lang w:bidi="ar"/>
              </w:rPr>
              <w:t>状态管理、指令管理、注册管理</w:t>
            </w: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充电调度、死锁移动调度</w:t>
            </w:r>
            <w:r>
              <w:rPr>
                <w:rFonts w:hint="eastAsia" w:ascii="宋体" w:hAnsi="宋体" w:eastAsia="宋体" w:cs="宋体"/>
                <w:color w:val="000000"/>
                <w:kern w:val="0"/>
                <w:sz w:val="16"/>
                <w:szCs w:val="16"/>
                <w:lang w:bidi="ar"/>
              </w:rPr>
              <w:t>接收上游任务执行，并反馈；（提供软件功能截图）</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4.路径搜索：通过算法检索可达路径，选择合理路径；</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5.交通控制：</w:t>
            </w:r>
            <w:r>
              <w:rPr>
                <w:rFonts w:ascii="宋体" w:hAnsi="宋体" w:eastAsia="宋体" w:cs="宋体"/>
                <w:color w:val="000000"/>
                <w:kern w:val="0"/>
                <w:sz w:val="16"/>
                <w:szCs w:val="16"/>
                <w:lang w:bidi="ar"/>
              </w:rPr>
              <w:t>死锁移动、锁闭移动、路径规划</w:t>
            </w:r>
            <w:r>
              <w:rPr>
                <w:rFonts w:hint="eastAsia" w:ascii="宋体" w:hAnsi="宋体" w:eastAsia="宋体" w:cs="宋体"/>
                <w:color w:val="000000"/>
                <w:kern w:val="0"/>
                <w:sz w:val="16"/>
                <w:szCs w:val="16"/>
                <w:lang w:bidi="ar"/>
              </w:rPr>
              <w:t>，路径规划执行过程管理，动态调整，保证车辆安全行进，满足多种类型AGV同时调度；（提供项目案例）</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6.锁闭管理：车辆负载或空载，静止或运动状态下锁闭管理机制，避免发生碰撞；</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7.主动避障：当AGV申请锁闭点或规划路径遇到障碍物或问题车辆时，会主动将其避开；</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8.充电设置：可设置低电量充电、满电退出充电；（提供软件功能截图）</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9.多台设备运行：满足500台AGV的调度运行能力（提供项目案例及合同订单）</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10. 产品生产商具有“</w:t>
            </w:r>
            <w:r>
              <w:rPr>
                <w:rFonts w:ascii="宋体" w:hAnsi="宋体" w:eastAsia="宋体" w:cs="宋体"/>
                <w:color w:val="000000"/>
                <w:kern w:val="0"/>
                <w:sz w:val="16"/>
                <w:szCs w:val="16"/>
                <w:lang w:bidi="ar"/>
              </w:rPr>
              <w:t>智能仓储系统、智能货架系统以及智能仓储方法</w:t>
            </w:r>
            <w:r>
              <w:rPr>
                <w:rFonts w:hint="eastAsia" w:ascii="宋体" w:hAnsi="宋体" w:eastAsia="宋体" w:cs="宋体"/>
                <w:color w:val="000000"/>
                <w:kern w:val="0"/>
                <w:sz w:val="16"/>
                <w:szCs w:val="16"/>
                <w:lang w:bidi="ar"/>
              </w:rPr>
              <w:t>”相关的专利证书</w:t>
            </w:r>
          </w:p>
          <w:p>
            <w:pPr>
              <w:pStyle w:val="12"/>
              <w:spacing w:line="240" w:lineRule="auto"/>
              <w:ind w:firstLine="0"/>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11. 产品生产商具有“</w:t>
            </w:r>
            <w:r>
              <w:rPr>
                <w:rFonts w:ascii="宋体" w:hAnsi="宋体" w:eastAsia="宋体" w:cs="宋体"/>
                <w:color w:val="000000"/>
                <w:kern w:val="0"/>
                <w:sz w:val="16"/>
                <w:szCs w:val="16"/>
                <w:lang w:bidi="ar"/>
              </w:rPr>
              <w:t>可对货架进行复用的货物存取装置、货物存取系统和方法</w:t>
            </w:r>
            <w:r>
              <w:rPr>
                <w:rFonts w:hint="eastAsia" w:ascii="宋体" w:hAnsi="宋体" w:eastAsia="宋体" w:cs="宋体"/>
                <w:color w:val="000000"/>
                <w:kern w:val="0"/>
                <w:sz w:val="16"/>
                <w:szCs w:val="16"/>
                <w:lang w:bidi="ar"/>
              </w:rPr>
              <w:t>”相关的专利证书</w:t>
            </w:r>
          </w:p>
        </w:tc>
        <w:tc>
          <w:tcPr>
            <w:tcW w:w="1100"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《智能仓储分析与应用》课程资源</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第一章、仓储配送设备认知</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课程内容：主要对物流仓储配送设备进行介绍，包含PPT课件2套（仓库认知、仓储设备认知）、视频5套（仓库操作流程、自动化立体库与货到人拣选系统、驶入式货架、物流输送设备概述）。其中平均每个PPT内容不低于25页，平均每个视频时长不低于5分钟。 </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第二章、智慧物流场景案例</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课程内容：主要对智慧物流场景案例进行介绍，提供不少于5个智慧物流实景运营视频，如中国智慧快递分拣系统、菜鸟网络仓储中心、中通快递交叉带自动分拣线、亚马逊无人仓储、顺丰智慧物流分拨中心、美团无人机配送服务、京东智慧物流智能枢纽中心等。总视频时长不低于15分钟。</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第三章、仓库出入库管理</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课程内容：主要对物流仓库出入库管理进行介绍，包含PPT课件2套（入库作业、出库作业），视频1套（货位分配概述）、动画3套（仓储的定义、入库准备、出库作业）。其中平均每个PPT内容不低于25页，平均每个视频时长不低于5分钟，平均每个动画时长不低于2分钟。</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第四章、条码技术与应用</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课程内容：主要对物流行业条码技术与应用进行介绍，包含PPT课件1套（物流条码技术与应用）、视频2套(一维条码技术概述、二维码的识别与原理)。其中平均每个PPT内容不低于25页，平均每个视频时长不低于5分钟。</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第五章、RFID技术与应用</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课程内容：主要对物流行业RFID技术与应用进行介绍，包含PPT课件1套（RFID基础知识）、视频1套（RFID技术在物流中的应用）、动画1套（射频识别技术简介）。其中PPT内容不低于25页，视频时长不低于5分钟，动画时长不低于3分钟。</w:t>
            </w:r>
          </w:p>
        </w:tc>
        <w:tc>
          <w:tcPr>
            <w:tcW w:w="110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widowControl/>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1100"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1100"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1100"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1100"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1100"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11</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1100"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1431"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5752"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szCs w:val="24"/>
              </w:rPr>
            </w:pPr>
          </w:p>
        </w:tc>
        <w:tc>
          <w:tcPr>
            <w:tcW w:w="1100"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p>
        </w:tc>
        <w:tc>
          <w:tcPr>
            <w:tcW w:w="1431" w:type="dxa"/>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 w:val="24"/>
                <w:szCs w:val="24"/>
              </w:rPr>
            </w:pPr>
          </w:p>
        </w:tc>
        <w:tc>
          <w:tcPr>
            <w:tcW w:w="5752" w:type="dxa"/>
            <w:gridSpan w:val="3"/>
            <w:tcBorders>
              <w:top w:val="single" w:color="auto" w:sz="4" w:space="0"/>
              <w:left w:val="single" w:color="auto" w:sz="4" w:space="0"/>
              <w:bottom w:val="single" w:color="auto" w:sz="4" w:space="0"/>
              <w:right w:val="single" w:color="auto" w:sz="4" w:space="0"/>
            </w:tcBorders>
          </w:tcPr>
          <w:p>
            <w:pPr>
              <w:widowControl/>
              <w:jc w:val="left"/>
              <w:rPr>
                <w:rFonts w:ascii="仿宋" w:hAnsi="仿宋" w:eastAsia="仿宋" w:cs="仿宋"/>
                <w:kern w:val="0"/>
                <w:sz w:val="24"/>
                <w:szCs w:val="24"/>
              </w:rPr>
            </w:pPr>
          </w:p>
        </w:tc>
        <w:tc>
          <w:tcPr>
            <w:tcW w:w="1100" w:type="dxa"/>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rPr>
                <w:rFonts w:ascii="仿宋" w:hAnsi="仿宋" w:eastAsia="仿宋" w:cs="仿宋"/>
                <w:b/>
                <w:sz w:val="24"/>
                <w:szCs w:val="24"/>
              </w:rPr>
            </w:pPr>
            <w:r>
              <w:rPr>
                <w:rFonts w:hint="eastAsia" w:ascii="仿宋" w:hAnsi="仿宋" w:eastAsia="仿宋" w:cs="仿宋"/>
                <w:b/>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序号</w:t>
            </w:r>
          </w:p>
        </w:tc>
        <w:tc>
          <w:tcPr>
            <w:tcW w:w="1431" w:type="dxa"/>
            <w:vAlign w:val="center"/>
          </w:tcPr>
          <w:p>
            <w:pPr>
              <w:jc w:val="center"/>
              <w:rPr>
                <w:rFonts w:ascii="仿宋" w:hAnsi="仿宋" w:eastAsia="仿宋" w:cs="仿宋"/>
                <w:sz w:val="24"/>
                <w:szCs w:val="24"/>
              </w:rPr>
            </w:pPr>
            <w:r>
              <w:rPr>
                <w:rFonts w:hint="eastAsia" w:ascii="仿宋" w:hAnsi="仿宋" w:eastAsia="仿宋" w:cs="仿宋"/>
                <w:sz w:val="24"/>
                <w:szCs w:val="24"/>
              </w:rPr>
              <w:t>指标名称</w:t>
            </w:r>
          </w:p>
        </w:tc>
        <w:tc>
          <w:tcPr>
            <w:tcW w:w="5752" w:type="dxa"/>
            <w:gridSpan w:val="3"/>
            <w:vAlign w:val="center"/>
          </w:tcPr>
          <w:p>
            <w:pPr>
              <w:jc w:val="center"/>
              <w:rPr>
                <w:rFonts w:ascii="仿宋" w:hAnsi="仿宋" w:eastAsia="仿宋" w:cs="仿宋"/>
                <w:sz w:val="24"/>
                <w:szCs w:val="24"/>
              </w:rPr>
            </w:pPr>
            <w:r>
              <w:rPr>
                <w:rFonts w:hint="eastAsia" w:ascii="仿宋" w:hAnsi="仿宋" w:eastAsia="仿宋" w:cs="仿宋"/>
                <w:sz w:val="24"/>
                <w:szCs w:val="24"/>
              </w:rPr>
              <w:t>参数明细</w:t>
            </w:r>
          </w:p>
        </w:tc>
        <w:tc>
          <w:tcPr>
            <w:tcW w:w="1100" w:type="dxa"/>
            <w:vAlign w:val="center"/>
          </w:tcPr>
          <w:p>
            <w:pPr>
              <w:jc w:val="center"/>
              <w:rPr>
                <w:rFonts w:ascii="仿宋" w:hAnsi="仿宋" w:eastAsia="仿宋" w:cs="仿宋"/>
                <w:sz w:val="24"/>
                <w:szCs w:val="24"/>
              </w:rPr>
            </w:pPr>
            <w:r>
              <w:rPr>
                <w:rFonts w:hint="eastAsia" w:ascii="仿宋" w:hAnsi="仿宋" w:eastAsia="仿宋"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1431" w:type="dxa"/>
          </w:tcPr>
          <w:p>
            <w:pPr>
              <w:rPr>
                <w:rFonts w:ascii="仿宋" w:hAnsi="仿宋" w:eastAsia="仿宋" w:cs="仿宋"/>
                <w:sz w:val="24"/>
                <w:szCs w:val="24"/>
              </w:rPr>
            </w:pPr>
          </w:p>
        </w:tc>
        <w:tc>
          <w:tcPr>
            <w:tcW w:w="5752" w:type="dxa"/>
            <w:gridSpan w:val="3"/>
          </w:tcPr>
          <w:p>
            <w:pPr>
              <w:rPr>
                <w:rFonts w:ascii="仿宋" w:hAnsi="仿宋" w:eastAsia="仿宋" w:cs="仿宋"/>
                <w:sz w:val="24"/>
                <w:szCs w:val="24"/>
              </w:rPr>
            </w:pPr>
          </w:p>
        </w:tc>
        <w:tc>
          <w:tcPr>
            <w:tcW w:w="1100" w:type="dxa"/>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25"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1431" w:type="dxa"/>
          </w:tcPr>
          <w:p>
            <w:pPr>
              <w:rPr>
                <w:rFonts w:ascii="仿宋" w:hAnsi="仿宋" w:eastAsia="仿宋" w:cs="仿宋"/>
                <w:sz w:val="24"/>
                <w:szCs w:val="24"/>
              </w:rPr>
            </w:pPr>
          </w:p>
        </w:tc>
        <w:tc>
          <w:tcPr>
            <w:tcW w:w="5752" w:type="dxa"/>
            <w:gridSpan w:val="3"/>
          </w:tcPr>
          <w:p>
            <w:pPr>
              <w:rPr>
                <w:rFonts w:ascii="仿宋" w:hAnsi="仿宋" w:eastAsia="仿宋" w:cs="仿宋"/>
                <w:sz w:val="24"/>
                <w:szCs w:val="24"/>
              </w:rPr>
            </w:pPr>
          </w:p>
        </w:tc>
        <w:tc>
          <w:tcPr>
            <w:tcW w:w="1100" w:type="dxa"/>
          </w:tcPr>
          <w:p>
            <w:pP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申报人</w:t>
            </w:r>
          </w:p>
        </w:tc>
        <w:tc>
          <w:tcPr>
            <w:tcW w:w="6852" w:type="dxa"/>
            <w:gridSpan w:val="4"/>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授权代表（评标）</w:t>
            </w:r>
          </w:p>
        </w:tc>
        <w:tc>
          <w:tcPr>
            <w:tcW w:w="6852" w:type="dxa"/>
            <w:gridSpan w:val="4"/>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s="仿宋"/>
                <w:sz w:val="24"/>
                <w:szCs w:val="24"/>
              </w:rPr>
            </w:pPr>
            <w:r>
              <w:rPr>
                <w:rFonts w:hint="eastAsia" w:ascii="仿宋" w:hAnsi="仿宋" w:eastAsia="仿宋" w:cs="仿宋"/>
                <w:sz w:val="24"/>
                <w:szCs w:val="24"/>
              </w:rPr>
              <w:t>单位负责人</w:t>
            </w:r>
          </w:p>
        </w:tc>
        <w:tc>
          <w:tcPr>
            <w:tcW w:w="6852" w:type="dxa"/>
            <w:gridSpan w:val="4"/>
            <w:vAlign w:val="center"/>
          </w:tcPr>
          <w:p>
            <w:pPr>
              <w:jc w:val="center"/>
              <w:rPr>
                <w:rFonts w:ascii="仿宋" w:hAnsi="仿宋" w:eastAsia="仿宋" w:cs="仿宋"/>
                <w:sz w:val="24"/>
                <w:szCs w:val="24"/>
              </w:rPr>
            </w:pPr>
          </w:p>
        </w:tc>
      </w:tr>
    </w:tbl>
    <w:p>
      <w:pPr>
        <w:ind w:left="514" w:hanging="514" w:hangingChars="245"/>
        <w:jc w:val="left"/>
        <w:rPr>
          <w:rFonts w:ascii="仿宋" w:hAnsi="仿宋" w:eastAsia="仿宋"/>
          <w:bCs/>
          <w:szCs w:val="21"/>
        </w:rPr>
      </w:pPr>
      <w:r>
        <w:rPr>
          <w:rFonts w:hint="eastAsia" w:ascii="仿宋" w:hAnsi="仿宋" w:eastAsia="仿宋"/>
          <w:bCs/>
          <w:szCs w:val="21"/>
        </w:rPr>
        <w:t>注：1、参数不可与已获批采购预算有冲突，如有冲突以已批准采购文件为准</w:t>
      </w:r>
    </w:p>
    <w:p>
      <w:pPr>
        <w:ind w:firstLine="420"/>
        <w:jc w:val="left"/>
        <w:rPr>
          <w:rFonts w:ascii="仿宋" w:hAnsi="仿宋" w:eastAsia="仿宋"/>
          <w:bCs/>
          <w:szCs w:val="21"/>
        </w:rPr>
      </w:pPr>
      <w:r>
        <w:rPr>
          <w:rFonts w:hint="eastAsia" w:ascii="仿宋" w:hAnsi="仿宋" w:eastAsia="仿宋"/>
          <w:bCs/>
          <w:szCs w:val="21"/>
        </w:rPr>
        <w:t>2、不得含有排他性技术指标</w:t>
      </w:r>
    </w:p>
    <w:p>
      <w:pPr>
        <w:ind w:firstLine="420"/>
        <w:jc w:val="left"/>
        <w:rPr>
          <w:rFonts w:ascii="仿宋" w:hAnsi="仿宋" w:eastAsia="仿宋"/>
          <w:bCs/>
          <w:szCs w:val="21"/>
        </w:rPr>
      </w:pPr>
      <w:r>
        <w:rPr>
          <w:rFonts w:ascii="仿宋" w:hAnsi="仿宋" w:eastAsia="仿宋"/>
          <w:bCs/>
          <w:szCs w:val="21"/>
        </w:rPr>
        <w:t>3</w:t>
      </w:r>
      <w:r>
        <w:rPr>
          <w:rFonts w:hint="eastAsia" w:ascii="仿宋" w:hAnsi="仿宋" w:eastAsia="仿宋"/>
          <w:bCs/>
          <w:szCs w:val="21"/>
        </w:rPr>
        <w:t>、条目可根据具体情况增减</w:t>
      </w:r>
    </w:p>
    <w:p>
      <w:pPr>
        <w:ind w:firstLine="420"/>
        <w:jc w:val="left"/>
        <w:rPr>
          <w:rFonts w:ascii="仿宋" w:hAnsi="仿宋" w:eastAsia="仿宋"/>
          <w:bCs/>
          <w:sz w:val="18"/>
          <w:szCs w:val="18"/>
        </w:rPr>
      </w:pPr>
      <w:r>
        <w:rPr>
          <w:rFonts w:ascii="仿宋" w:hAnsi="仿宋" w:eastAsia="仿宋"/>
          <w:bCs/>
          <w:szCs w:val="21"/>
        </w:rPr>
        <w:t>4</w:t>
      </w:r>
      <w:r>
        <w:rPr>
          <w:rFonts w:hint="eastAsia" w:ascii="仿宋" w:hAnsi="仿宋" w:eastAsia="仿宋"/>
          <w:bCs/>
          <w:szCs w:val="21"/>
        </w:rPr>
        <w:t>、本页不够可另起一页</w:t>
      </w:r>
      <w:r>
        <w:rPr>
          <w:rFonts w:hint="eastAsia" w:ascii="仿宋" w:hAnsi="仿宋" w:eastAsia="仿宋"/>
          <w:bCs/>
          <w:sz w:val="18"/>
          <w:szCs w:val="18"/>
        </w:rPr>
        <w:t>。</w:t>
      </w:r>
    </w:p>
    <w:p>
      <w:pPr>
        <w:rPr>
          <w:rFonts w:ascii="仿宋" w:hAnsi="仿宋" w:eastAsia="仿宋"/>
          <w:bCs/>
          <w:sz w:val="18"/>
          <w:szCs w:val="18"/>
        </w:rPr>
      </w:pPr>
      <w:r>
        <w:rPr>
          <w:rFonts w:hint="eastAsia" w:ascii="仿宋" w:hAnsi="仿宋" w:eastAsia="仿宋"/>
          <w:bCs/>
          <w:sz w:val="18"/>
          <w:szCs w:val="18"/>
        </w:rPr>
        <w:br w:type="page"/>
      </w:r>
    </w:p>
    <w:p>
      <w:pPr>
        <w:jc w:val="center"/>
        <w:rPr>
          <w:rFonts w:ascii="宋体" w:hAnsi="宋体" w:eastAsia="宋体" w:cs="宋体"/>
          <w:b/>
          <w:sz w:val="36"/>
          <w:szCs w:val="36"/>
        </w:rPr>
      </w:pPr>
      <w:r>
        <w:rPr>
          <w:rFonts w:hint="eastAsia" w:ascii="宋体" w:hAnsi="宋体" w:eastAsia="宋体" w:cs="宋体"/>
          <w:b/>
          <w:bCs/>
          <w:sz w:val="36"/>
          <w:szCs w:val="36"/>
        </w:rPr>
        <w:t>珠海科技学院设备类采购合同</w:t>
      </w:r>
      <w:permStart w:id="0" w:edGrp="everyone"/>
      <w:permEnd w:id="0"/>
    </w:p>
    <w:p>
      <w:pPr>
        <w:ind w:firstLine="2773" w:firstLineChars="1151"/>
        <w:rPr>
          <w:rFonts w:ascii="宋体" w:hAnsi="宋体" w:eastAsia="宋体" w:cs="宋体"/>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pPr>
              <w:rPr>
                <w:rFonts w:ascii="宋体" w:hAnsi="宋体" w:eastAsia="宋体" w:cs="宋体"/>
                <w:b/>
                <w:sz w:val="24"/>
              </w:rPr>
            </w:pPr>
            <w:r>
              <w:rPr>
                <w:rFonts w:hint="eastAsia" w:ascii="宋体" w:hAnsi="宋体" w:eastAsia="宋体" w:cs="宋体"/>
                <w:sz w:val="24"/>
              </w:rPr>
              <w:t>珠海科技学院</w:t>
            </w:r>
          </w:p>
        </w:tc>
        <w:tc>
          <w:tcPr>
            <w:tcW w:w="1559" w:type="dxa"/>
          </w:tcPr>
          <w:p>
            <w:pPr>
              <w:rPr>
                <w:rFonts w:ascii="宋体" w:hAnsi="宋体" w:eastAsia="宋体" w:cs="宋体"/>
                <w:b/>
                <w:sz w:val="24"/>
              </w:rPr>
            </w:pPr>
            <w:r>
              <w:rPr>
                <w:rFonts w:hint="eastAsia" w:ascii="宋体" w:hAnsi="宋体" w:eastAsia="宋体" w:cs="宋体"/>
                <w:sz w:val="24"/>
              </w:rPr>
              <w:t>合同编号：</w:t>
            </w:r>
          </w:p>
        </w:tc>
        <w:tc>
          <w:tcPr>
            <w:tcW w:w="2410" w:type="dxa"/>
          </w:tcPr>
          <w:p>
            <w:pPr>
              <w:rPr>
                <w:rFonts w:ascii="宋体" w:hAnsi="宋体" w:eastAsia="宋体" w:cs="宋体"/>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pPr>
              <w:rPr>
                <w:rFonts w:ascii="宋体" w:hAnsi="宋体" w:eastAsia="宋体" w:cs="宋体"/>
                <w:sz w:val="24"/>
                <w:shd w:val="pct10" w:color="auto" w:fill="FFFFFF"/>
              </w:rPr>
            </w:pPr>
          </w:p>
        </w:tc>
        <w:tc>
          <w:tcPr>
            <w:tcW w:w="1559" w:type="dxa"/>
          </w:tcPr>
          <w:p>
            <w:pPr>
              <w:rPr>
                <w:rFonts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pPr>
              <w:rPr>
                <w:rFonts w:ascii="宋体" w:hAnsi="宋体" w:eastAsia="宋体" w:cs="宋体"/>
                <w:sz w:val="24"/>
              </w:rPr>
            </w:pPr>
            <w:r>
              <w:rPr>
                <w:rFonts w:hint="eastAsia" w:ascii="宋体" w:hAnsi="宋体" w:eastAsia="宋体" w:cs="宋体"/>
                <w:sz w:val="24"/>
              </w:rPr>
              <w:t>2023年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tblPrEx>
          <w:tblCellMar>
            <w:top w:w="0" w:type="dxa"/>
            <w:left w:w="108" w:type="dxa"/>
            <w:bottom w:w="0" w:type="dxa"/>
            <w:right w:w="108" w:type="dxa"/>
          </w:tblCellMar>
        </w:tblPrEx>
        <w:tc>
          <w:tcPr>
            <w:tcW w:w="864" w:type="dxa"/>
          </w:tcPr>
          <w:p>
            <w:pPr>
              <w:rPr>
                <w:rFonts w:ascii="宋体" w:hAnsi="宋体" w:eastAsia="宋体" w:cs="宋体"/>
                <w:b/>
                <w:sz w:val="24"/>
              </w:rPr>
            </w:pPr>
          </w:p>
        </w:tc>
        <w:tc>
          <w:tcPr>
            <w:tcW w:w="3639" w:type="dxa"/>
          </w:tcPr>
          <w:p>
            <w:pPr>
              <w:ind w:firstLine="960" w:firstLineChars="400"/>
              <w:rPr>
                <w:rFonts w:ascii="宋体" w:hAnsi="宋体" w:eastAsia="宋体" w:cs="宋体"/>
                <w:sz w:val="24"/>
              </w:rPr>
            </w:pPr>
            <w:bookmarkStart w:id="2" w:name="yfdw"/>
            <w:bookmarkEnd w:id="2"/>
          </w:p>
        </w:tc>
        <w:tc>
          <w:tcPr>
            <w:tcW w:w="1559" w:type="dxa"/>
          </w:tcPr>
          <w:p>
            <w:pPr>
              <w:rPr>
                <w:rFonts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ascii="宋体" w:hAnsi="宋体" w:eastAsia="宋体" w:cs="宋体"/>
                <w:b/>
                <w:sz w:val="24"/>
              </w:rPr>
            </w:pPr>
            <w:r>
              <w:rPr>
                <w:rFonts w:hint="eastAsia" w:ascii="宋体" w:hAnsi="宋体" w:eastAsia="宋体" w:cs="宋体"/>
                <w:sz w:val="24"/>
              </w:rPr>
              <w:t>珠海科技学院</w:t>
            </w:r>
          </w:p>
        </w:tc>
      </w:tr>
    </w:tbl>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根据《中华人民共和国民法典》等有关法律,甲乙双方本着平等互利,诚实守信的原则,经友好协商,达成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pPr>
        <w:pStyle w:val="10"/>
        <w:numPr>
          <w:ilvl w:val="0"/>
          <w:numId w:val="3"/>
        </w:numPr>
        <w:spacing w:line="360" w:lineRule="auto"/>
        <w:ind w:firstLineChars="0"/>
        <w:rPr>
          <w:rFonts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pPr>
              <w:spacing w:line="360" w:lineRule="auto"/>
              <w:jc w:val="center"/>
              <w:rPr>
                <w:rFonts w:ascii="宋体" w:hAnsi="宋体" w:eastAsia="宋体" w:cs="宋体"/>
                <w:sz w:val="24"/>
              </w:rPr>
            </w:pPr>
            <w:r>
              <w:rPr>
                <w:rFonts w:hint="eastAsia" w:ascii="宋体" w:hAnsi="宋体" w:eastAsia="宋体" w:cs="宋体"/>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700" w:type="dxa"/>
            <w:shd w:val="clear" w:color="auto" w:fill="FFFFFF" w:themeFill="background1"/>
          </w:tcPr>
          <w:p>
            <w:pPr>
              <w:spacing w:line="360" w:lineRule="auto"/>
              <w:rPr>
                <w:rFonts w:ascii="宋体" w:hAnsi="宋体" w:eastAsia="宋体" w:cs="宋体"/>
                <w:szCs w:val="21"/>
              </w:rPr>
            </w:pPr>
          </w:p>
        </w:tc>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709" w:type="dxa"/>
            <w:shd w:val="clear" w:color="auto" w:fill="FFFFFF" w:themeFill="background1"/>
            <w:vAlign w:val="center"/>
          </w:tcPr>
          <w:p>
            <w:pPr>
              <w:spacing w:line="360" w:lineRule="auto"/>
              <w:jc w:val="center"/>
              <w:rPr>
                <w:rFonts w:ascii="宋体" w:hAnsi="宋体" w:eastAsia="宋体" w:cs="宋体"/>
                <w:sz w:val="24"/>
              </w:rPr>
            </w:pPr>
          </w:p>
        </w:tc>
        <w:tc>
          <w:tcPr>
            <w:tcW w:w="1134" w:type="dxa"/>
            <w:shd w:val="clear" w:color="auto" w:fill="FFFFFF" w:themeFill="background1"/>
            <w:vAlign w:val="center"/>
          </w:tcPr>
          <w:p>
            <w:pPr>
              <w:spacing w:line="360" w:lineRule="auto"/>
              <w:jc w:val="right"/>
              <w:rPr>
                <w:rFonts w:ascii="宋体" w:hAnsi="宋体" w:eastAsia="宋体" w:cs="宋体"/>
                <w:sz w:val="24"/>
              </w:rPr>
            </w:pPr>
          </w:p>
        </w:tc>
        <w:tc>
          <w:tcPr>
            <w:tcW w:w="1275" w:type="dxa"/>
            <w:shd w:val="clear" w:color="auto" w:fill="FFFFFF" w:themeFill="background1"/>
            <w:vAlign w:val="center"/>
          </w:tcPr>
          <w:p>
            <w:pPr>
              <w:spacing w:line="360" w:lineRule="auto"/>
              <w:jc w:val="right"/>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559" w:type="dxa"/>
            <w:shd w:val="clear" w:color="auto" w:fill="FFFFFF" w:themeFill="background1"/>
          </w:tcPr>
          <w:p>
            <w:pPr>
              <w:spacing w:line="360" w:lineRule="auto"/>
              <w:rPr>
                <w:rFonts w:ascii="宋体" w:hAnsi="宋体" w:eastAsia="宋体" w:cs="宋体"/>
                <w:szCs w:val="21"/>
              </w:rPr>
            </w:pPr>
          </w:p>
        </w:tc>
        <w:tc>
          <w:tcPr>
            <w:tcW w:w="1700" w:type="dxa"/>
            <w:shd w:val="clear" w:color="auto" w:fill="FFFFFF" w:themeFill="background1"/>
          </w:tcPr>
          <w:p>
            <w:pPr>
              <w:spacing w:line="360" w:lineRule="auto"/>
              <w:rPr>
                <w:rFonts w:ascii="宋体" w:hAnsi="宋体" w:eastAsia="宋体" w:cs="宋体"/>
                <w:szCs w:val="21"/>
              </w:rPr>
            </w:pPr>
          </w:p>
        </w:tc>
        <w:tc>
          <w:tcPr>
            <w:tcW w:w="710" w:type="dxa"/>
            <w:shd w:val="clear" w:color="auto" w:fill="FFFFFF" w:themeFill="background1"/>
            <w:vAlign w:val="center"/>
          </w:tcPr>
          <w:p>
            <w:pPr>
              <w:spacing w:line="360" w:lineRule="auto"/>
              <w:jc w:val="center"/>
              <w:rPr>
                <w:rFonts w:ascii="宋体" w:hAnsi="宋体" w:eastAsia="宋体" w:cs="宋体"/>
                <w:szCs w:val="21"/>
              </w:rPr>
            </w:pPr>
          </w:p>
        </w:tc>
        <w:tc>
          <w:tcPr>
            <w:tcW w:w="709" w:type="dxa"/>
            <w:shd w:val="clear" w:color="auto" w:fill="FFFFFF" w:themeFill="background1"/>
            <w:vAlign w:val="center"/>
          </w:tcPr>
          <w:p>
            <w:pPr>
              <w:spacing w:line="360" w:lineRule="auto"/>
              <w:jc w:val="center"/>
              <w:rPr>
                <w:rFonts w:ascii="宋体" w:hAnsi="宋体" w:eastAsia="宋体" w:cs="宋体"/>
                <w:sz w:val="24"/>
              </w:rPr>
            </w:pPr>
          </w:p>
        </w:tc>
        <w:tc>
          <w:tcPr>
            <w:tcW w:w="1134" w:type="dxa"/>
            <w:shd w:val="clear" w:color="auto" w:fill="FFFFFF" w:themeFill="background1"/>
            <w:vAlign w:val="center"/>
          </w:tcPr>
          <w:p>
            <w:pPr>
              <w:spacing w:line="360" w:lineRule="auto"/>
              <w:jc w:val="right"/>
              <w:rPr>
                <w:rFonts w:ascii="宋体" w:hAnsi="宋体" w:eastAsia="宋体" w:cs="宋体"/>
                <w:sz w:val="24"/>
              </w:rPr>
            </w:pPr>
          </w:p>
        </w:tc>
        <w:tc>
          <w:tcPr>
            <w:tcW w:w="1275" w:type="dxa"/>
            <w:shd w:val="clear" w:color="auto" w:fill="FFFFFF" w:themeFill="background1"/>
            <w:vAlign w:val="center"/>
          </w:tcPr>
          <w:p>
            <w:pPr>
              <w:spacing w:line="360" w:lineRule="auto"/>
              <w:jc w:val="right"/>
              <w:rPr>
                <w:rFonts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pPr>
              <w:spacing w:line="360" w:lineRule="auto"/>
              <w:rPr>
                <w:rFonts w:ascii="宋体" w:hAnsi="宋体" w:eastAsia="宋体" w:cs="宋体"/>
                <w:sz w:val="24"/>
              </w:rPr>
            </w:pPr>
            <w:r>
              <w:rPr>
                <w:rFonts w:hint="eastAsia" w:ascii="宋体" w:hAnsi="宋体" w:eastAsia="宋体" w:cs="宋体"/>
                <w:sz w:val="24"/>
              </w:rPr>
              <w:t>￥</w:t>
            </w:r>
          </w:p>
        </w:tc>
      </w:tr>
    </w:tbl>
    <w:p>
      <w:pPr>
        <w:spacing w:line="400" w:lineRule="exact"/>
        <w:jc w:val="left"/>
        <w:rPr>
          <w:rFonts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pPr>
        <w:spacing w:line="400" w:lineRule="exact"/>
        <w:jc w:val="left"/>
        <w:rPr>
          <w:rFonts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pPr>
        <w:pStyle w:val="10"/>
        <w:spacing w:line="400" w:lineRule="exact"/>
        <w:ind w:firstLine="501" w:firstLineChars="209"/>
        <w:jc w:val="left"/>
        <w:rPr>
          <w:rFonts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pPr>
        <w:pStyle w:val="10"/>
        <w:spacing w:line="540" w:lineRule="exact"/>
        <w:ind w:firstLine="480"/>
        <w:jc w:val="left"/>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产品送达甲方指定地点：珠海科技学院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pPr>
        <w:spacing w:line="540" w:lineRule="exact"/>
        <w:jc w:val="left"/>
        <w:rPr>
          <w:rFonts w:ascii="宋体" w:hAnsi="宋体" w:eastAsia="宋体" w:cs="宋体"/>
          <w:b/>
          <w:sz w:val="24"/>
        </w:rPr>
      </w:pPr>
      <w:r>
        <w:rPr>
          <w:rFonts w:hint="eastAsia" w:ascii="宋体" w:hAnsi="宋体" w:eastAsia="宋体" w:cs="宋体"/>
          <w:b/>
          <w:sz w:val="24"/>
        </w:rPr>
        <w:t>四、包装及运费</w:t>
      </w:r>
    </w:p>
    <w:p>
      <w:pPr>
        <w:pStyle w:val="10"/>
        <w:spacing w:line="540" w:lineRule="exact"/>
        <w:ind w:firstLine="480"/>
        <w:jc w:val="left"/>
        <w:rPr>
          <w:rFonts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pPr>
        <w:spacing w:line="540" w:lineRule="exact"/>
        <w:jc w:val="left"/>
        <w:rPr>
          <w:rFonts w:ascii="宋体" w:hAnsi="宋体" w:eastAsia="宋体" w:cs="宋体"/>
          <w:b/>
          <w:sz w:val="24"/>
        </w:rPr>
      </w:pPr>
      <w:r>
        <w:rPr>
          <w:rFonts w:hint="eastAsia" w:ascii="宋体" w:hAnsi="宋体" w:eastAsia="宋体" w:cs="宋体"/>
          <w:b/>
          <w:sz w:val="24"/>
        </w:rPr>
        <w:t>五、质保期</w:t>
      </w:r>
    </w:p>
    <w:p>
      <w:pPr>
        <w:pStyle w:val="10"/>
        <w:spacing w:line="540" w:lineRule="exac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w:t>
      </w:r>
      <w:r>
        <w:rPr>
          <w:rFonts w:hint="eastAsia" w:ascii="宋体" w:hAnsi="宋体" w:eastAsia="宋体" w:cs="宋体"/>
          <w:color w:val="000000" w:themeColor="text1"/>
          <w:sz w:val="24"/>
          <w:shd w:val="pct10" w:color="auto" w:fill="FFFFFF"/>
          <w:lang w:val="en-US" w:eastAsia="zh-CN"/>
          <w14:textFill>
            <w14:solidFill>
              <w14:schemeClr w14:val="tx1"/>
            </w14:solidFill>
          </w14:textFill>
        </w:rPr>
        <w:t>三</w:t>
      </w:r>
      <w:r>
        <w:rPr>
          <w:rFonts w:hint="eastAsia" w:ascii="宋体" w:hAnsi="宋体" w:eastAsia="宋体" w:cs="宋体"/>
          <w:color w:val="000000" w:themeColor="text1"/>
          <w:sz w:val="24"/>
          <w:shd w:val="pct10" w:color="auto" w:fill="FFFFFF"/>
          <w14:textFill>
            <w14:solidFill>
              <w14:schemeClr w14:val="tx1"/>
            </w14:solidFill>
          </w14:textFill>
        </w:rPr>
        <w:t>__</w:t>
      </w:r>
      <w:permEnd w:id="10"/>
      <w:r>
        <w:rPr>
          <w:rFonts w:hint="eastAsia" w:ascii="宋体" w:hAnsi="宋体" w:eastAsia="宋体" w:cs="宋体"/>
          <w:color w:val="000000" w:themeColor="text1"/>
          <w:sz w:val="24"/>
          <w14:textFill>
            <w14:solidFill>
              <w14:schemeClr w14:val="tx1"/>
            </w14:solidFill>
          </w14:textFill>
        </w:rPr>
        <w:t>年。</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w:t>
      </w:r>
      <w:bookmarkStart w:id="6" w:name="_GoBack"/>
      <w:bookmarkEnd w:id="6"/>
      <w:r>
        <w:rPr>
          <w:rFonts w:hint="eastAsia" w:ascii="宋体" w:hAnsi="宋体" w:eastAsia="宋体" w:cs="宋体"/>
          <w:color w:val="000000" w:themeColor="text1"/>
          <w:sz w:val="24"/>
          <w:shd w:val="pct10" w:color="auto" w:fill="FFFFFF"/>
          <w14:textFill>
            <w14:solidFill>
              <w14:schemeClr w14:val="tx1"/>
            </w14:solidFill>
          </w14:textFill>
        </w:rPr>
        <w:t>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pPr>
        <w:pStyle w:val="10"/>
        <w:spacing w:line="540" w:lineRule="exact"/>
        <w:ind w:firstLine="48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pPr>
        <w:spacing w:line="540" w:lineRule="exact"/>
        <w:ind w:firstLine="480" w:firstLineChars="200"/>
        <w:jc w:val="left"/>
        <w:rPr>
          <w:rFonts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6" w:hangingChars="177"/>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pPr>
        <w:pStyle w:val="10"/>
        <w:spacing w:line="540" w:lineRule="atLeast"/>
        <w:ind w:left="480"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ascii="宋体" w:hAnsi="宋体" w:eastAsia="宋体" w:cs="宋体"/>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甲方：珠海科技学院（盖章）</w:t>
            </w:r>
          </w:p>
        </w:tc>
        <w:tc>
          <w:tcPr>
            <w:tcW w:w="4961" w:type="dxa"/>
          </w:tcPr>
          <w:p>
            <w:pPr>
              <w:spacing w:line="360" w:lineRule="auto"/>
              <w:rPr>
                <w:rFonts w:ascii="宋体" w:hAnsi="宋体" w:eastAsia="宋体" w:cs="宋体"/>
                <w:sz w:val="24"/>
              </w:rPr>
            </w:pPr>
            <w:r>
              <w:rPr>
                <w:rFonts w:hint="eastAsia" w:ascii="宋体" w:hAnsi="宋体" w:eastAsia="宋体" w:cs="宋体"/>
                <w:sz w:val="24"/>
              </w:rPr>
              <w:t>乙方：</w:t>
            </w:r>
            <w:bookmarkStart w:id="3" w:name="yfdw1"/>
            <w:bookmarkEnd w:id="3"/>
            <w:permStart w:id="13" w:edGrp="everyone"/>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ascii="宋体" w:hAnsi="宋体" w:eastAsia="宋体" w:cs="宋体"/>
                <w:sz w:val="24"/>
              </w:rPr>
            </w:pPr>
            <w:r>
              <w:rPr>
                <w:rFonts w:hint="eastAsia" w:ascii="宋体" w:hAnsi="宋体" w:eastAsia="宋体" w:cs="宋体"/>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ascii="宋体" w:hAnsi="宋体" w:eastAsia="宋体" w:cs="宋体"/>
                <w:b/>
                <w:sz w:val="24"/>
              </w:rPr>
            </w:pPr>
            <w:r>
              <w:rPr>
                <w:rFonts w:hint="eastAsia" w:ascii="宋体" w:hAnsi="宋体" w:eastAsia="宋体" w:cs="宋体"/>
                <w:sz w:val="24"/>
              </w:rPr>
              <w:t>地址：</w:t>
            </w:r>
            <w:bookmarkStart w:id="4" w:name="yfyh"/>
            <w:bookmarkEnd w:id="4"/>
            <w:permStart w:id="14" w:edGrp="everyone"/>
            <w:r>
              <w:rPr>
                <w:rFonts w:hint="eastAsia" w:ascii="宋体" w:hAnsi="宋体" w:eastAsia="宋体" w:cs="宋体"/>
                <w:sz w:val="24"/>
                <w:shd w:val="pct10" w:color="auto" w:fill="FFFFFF"/>
              </w:rPr>
              <w:t>***************</w:t>
            </w:r>
            <w:permEnd w:id="14"/>
          </w:p>
        </w:tc>
      </w:tr>
      <w:tr>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tblPrEx>
          <w:tblCellMar>
            <w:top w:w="0" w:type="dxa"/>
            <w:left w:w="108" w:type="dxa"/>
            <w:bottom w:w="0" w:type="dxa"/>
            <w:right w:w="108" w:type="dxa"/>
          </w:tblCellMar>
        </w:tblPrEx>
        <w:trPr>
          <w:trHeight w:val="552" w:hRule="atLeast"/>
        </w:trPr>
        <w:tc>
          <w:tcPr>
            <w:tcW w:w="4361" w:type="dxa"/>
          </w:tcPr>
          <w:p>
            <w:pPr>
              <w:spacing w:line="360" w:lineRule="auto"/>
              <w:rPr>
                <w:rFonts w:ascii="宋体" w:hAnsi="宋体" w:eastAsia="宋体" w:cs="宋体"/>
                <w:sz w:val="24"/>
              </w:rPr>
            </w:pPr>
            <w:r>
              <w:rPr>
                <w:rFonts w:hint="eastAsia" w:ascii="宋体" w:hAnsi="宋体" w:eastAsia="宋体" w:cs="宋体"/>
                <w:sz w:val="24"/>
              </w:rPr>
              <w:t>邮编：519000</w:t>
            </w: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p>
        </w:tc>
        <w:tc>
          <w:tcPr>
            <w:tcW w:w="4961" w:type="dxa"/>
          </w:tcPr>
          <w:p>
            <w:pPr>
              <w:spacing w:line="360" w:lineRule="auto"/>
              <w:rPr>
                <w:rFonts w:ascii="宋体" w:hAnsi="宋体" w:eastAsia="宋体" w:cs="宋体"/>
                <w:sz w:val="24"/>
              </w:rPr>
            </w:pPr>
            <w:r>
              <w:rPr>
                <w:rFonts w:hint="eastAsia" w:ascii="宋体" w:hAnsi="宋体" w:eastAsia="宋体" w:cs="宋体"/>
                <w:sz w:val="24"/>
              </w:rPr>
              <w:t>邮编：</w:t>
            </w:r>
            <w:permStart w:id="16" w:edGrp="everyone"/>
            <w:permEnd w:id="16"/>
          </w:p>
          <w:p>
            <w:pPr>
              <w:spacing w:line="360" w:lineRule="auto"/>
              <w:rPr>
                <w:rFonts w:ascii="宋体" w:hAnsi="宋体" w:eastAsia="宋体" w:cs="宋体"/>
                <w:sz w:val="24"/>
              </w:rPr>
            </w:pPr>
            <w:r>
              <w:rPr>
                <w:rFonts w:hint="eastAsia" w:ascii="宋体" w:hAnsi="宋体" w:eastAsia="宋体" w:cs="宋体"/>
                <w:sz w:val="24"/>
              </w:rPr>
              <w:t>开户行：</w:t>
            </w:r>
            <w:permStart w:id="17" w:edGrp="everyone"/>
            <w:permEnd w:id="17"/>
          </w:p>
          <w:p>
            <w:pPr>
              <w:spacing w:line="360" w:lineRule="auto"/>
              <w:rPr>
                <w:rFonts w:ascii="宋体" w:hAnsi="宋体" w:eastAsia="宋体" w:cs="宋体"/>
                <w:sz w:val="24"/>
              </w:rPr>
            </w:pPr>
            <w:r>
              <w:rPr>
                <w:rFonts w:hint="eastAsia" w:ascii="宋体" w:hAnsi="宋体" w:eastAsia="宋体" w:cs="宋体"/>
                <w:sz w:val="24"/>
              </w:rPr>
              <w:t>账号：</w:t>
            </w:r>
            <w:permStart w:id="18" w:edGrp="everyone"/>
            <w:permEnd w:id="18"/>
          </w:p>
          <w:p>
            <w:pPr>
              <w:spacing w:line="360" w:lineRule="auto"/>
              <w:rPr>
                <w:rFonts w:ascii="宋体" w:hAnsi="宋体" w:eastAsia="宋体" w:cs="宋体"/>
                <w:sz w:val="24"/>
              </w:rPr>
            </w:pPr>
          </w:p>
          <w:p>
            <w:pPr>
              <w:spacing w:line="360" w:lineRule="auto"/>
              <w:rPr>
                <w:rFonts w:ascii="宋体" w:hAnsi="宋体" w:eastAsia="宋体" w:cs="宋体"/>
                <w:sz w:val="24"/>
              </w:rPr>
            </w:pPr>
          </w:p>
        </w:tc>
      </w:tr>
    </w:tbl>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ermStart w:id="19" w:edGrp="everyone"/>
    </w:p>
    <w:p>
      <w:pPr>
        <w:rPr>
          <w:rFonts w:ascii="宋体" w:hAnsi="宋体" w:eastAsia="宋体" w:cs="宋体"/>
          <w:sz w:val="24"/>
        </w:rPr>
      </w:pPr>
      <w:r>
        <w:rPr>
          <w:rFonts w:hint="eastAsia" w:ascii="宋体" w:hAnsi="宋体" w:eastAsia="宋体" w:cs="宋体"/>
          <w:sz w:val="24"/>
        </w:rPr>
        <w:t>附件</w:t>
      </w:r>
    </w:p>
    <w:p>
      <w:pPr>
        <w:rPr>
          <w:rFonts w:ascii="宋体" w:hAnsi="宋体" w:eastAsia="宋体" w:cs="宋体"/>
          <w:sz w:val="24"/>
        </w:rPr>
      </w:pPr>
    </w:p>
    <w:p>
      <w:pPr>
        <w:rPr>
          <w:rFonts w:ascii="宋体" w:hAnsi="宋体" w:eastAsia="宋体" w:cs="宋体"/>
          <w:sz w:val="24"/>
        </w:rPr>
      </w:pPr>
      <w:r>
        <w:rPr>
          <w:rFonts w:hint="eastAsia" w:ascii="宋体" w:hAnsi="宋体" w:eastAsia="宋体" w:cs="宋体"/>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ascii="宋体" w:hAnsi="宋体" w:eastAsia="宋体" w:cs="宋体"/>
                <w:sz w:val="24"/>
              </w:rPr>
            </w:pPr>
            <w:r>
              <w:rPr>
                <w:rFonts w:hint="eastAsia" w:ascii="宋体" w:hAnsi="宋体" w:eastAsia="宋体" w:cs="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1560" w:type="dxa"/>
            <w:vAlign w:val="center"/>
          </w:tcPr>
          <w:p>
            <w:pPr>
              <w:widowControl/>
              <w:jc w:val="center"/>
              <w:textAlignment w:val="center"/>
              <w:rPr>
                <w:rFonts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潜伏式AGV搬运机器人</w:t>
            </w:r>
          </w:p>
        </w:tc>
        <w:tc>
          <w:tcPr>
            <w:tcW w:w="4677" w:type="dxa"/>
            <w:vAlign w:val="center"/>
          </w:tcPr>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参数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尺寸 940*712*240mm</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旋转直径 940mm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自重 145kg ，额定负载 600kg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顶升高度 55mm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导航方式：二维码导航，</w:t>
            </w:r>
            <w:r>
              <w:rPr>
                <w:rFonts w:ascii="宋体" w:hAnsi="宋体" w:eastAsia="宋体" w:cs="宋体"/>
                <w:color w:val="000000"/>
                <w:kern w:val="0"/>
                <w:sz w:val="16"/>
                <w:szCs w:val="16"/>
                <w:lang w:bidi="ar"/>
              </w:rPr>
              <w:t>双轮差速，</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底盘结构：铝合金+浮动底盘</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鼎升结构：连杆结构</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移动速度：空载速度2.0m/s，满载速度，1.5m/s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驱动方式 双轮差速</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运动控制：支持原地旋转，弧形转弯、U 型转弯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导航精度定位精度 ±10mm ，停止精度 ±5mm ，停止角精度 ±1°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额定续航9h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充电时间 1.2h（30A 充电）自主充电；支持快速更换电池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通过性能过沟能力 ：采用悬挂式设计，过沟能力：≤30mm ，过坎能力 ≤5mm ，过坡能力 ≤5%（2.8°）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环境参数使用温度 ，-10-45℃ </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噪声 ≤75dB</w:t>
            </w:r>
          </w:p>
          <w:p>
            <w:pPr>
              <w:widowControl/>
              <w:numPr>
                <w:ilvl w:val="0"/>
                <w:numId w:val="1"/>
              </w:numPr>
              <w:adjustRightInd w:val="0"/>
              <w:snapToGrid w:val="0"/>
              <w:spacing w:line="360" w:lineRule="auto"/>
              <w:jc w:val="left"/>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产品生产商具有“</w:t>
            </w:r>
            <w:r>
              <w:rPr>
                <w:rFonts w:ascii="宋体" w:hAnsi="宋体" w:eastAsia="宋体" w:cs="宋体"/>
                <w:color w:val="000000"/>
                <w:kern w:val="0"/>
                <w:sz w:val="16"/>
                <w:szCs w:val="16"/>
                <w:lang w:bidi="ar"/>
              </w:rPr>
              <w:t>基于二维码解码的快速定位识别的方法</w:t>
            </w:r>
            <w:r>
              <w:rPr>
                <w:rFonts w:hint="eastAsia" w:ascii="宋体" w:hAnsi="宋体" w:eastAsia="宋体" w:cs="宋体"/>
                <w:color w:val="000000"/>
                <w:kern w:val="0"/>
                <w:sz w:val="16"/>
                <w:szCs w:val="16"/>
                <w:lang w:bidi="ar"/>
              </w:rPr>
              <w:t>”相关的专利证书</w:t>
            </w:r>
          </w:p>
          <w:p>
            <w:pPr>
              <w:widowControl/>
              <w:adjustRightInd w:val="0"/>
              <w:snapToGrid w:val="0"/>
              <w:spacing w:line="360" w:lineRule="auto"/>
              <w:jc w:val="left"/>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18、产品生产商具有“</w:t>
            </w:r>
            <w:r>
              <w:rPr>
                <w:rFonts w:ascii="宋体" w:hAnsi="宋体" w:eastAsia="宋体" w:cs="宋体"/>
                <w:color w:val="000000"/>
                <w:kern w:val="0"/>
                <w:sz w:val="16"/>
                <w:szCs w:val="16"/>
                <w:lang w:bidi="ar"/>
              </w:rPr>
              <w:t>二维码的编解码系统、生成方法及装置、识别方法及</w:t>
            </w:r>
            <w:r>
              <w:rPr>
                <w:rFonts w:hint="eastAsia" w:ascii="宋体" w:hAnsi="宋体" w:eastAsia="宋体" w:cs="宋体"/>
                <w:color w:val="000000"/>
                <w:kern w:val="0"/>
                <w:sz w:val="16"/>
                <w:szCs w:val="16"/>
                <w:lang w:bidi="ar"/>
              </w:rPr>
              <w:t>装置”相关的专利证书</w:t>
            </w:r>
          </w:p>
        </w:tc>
        <w:tc>
          <w:tcPr>
            <w:tcW w:w="1701" w:type="dxa"/>
            <w:vAlign w:val="center"/>
          </w:tcPr>
          <w:p>
            <w:pPr>
              <w:jc w:val="center"/>
              <w:rPr>
                <w:rFonts w:ascii="仿宋" w:hAnsi="仿宋" w:eastAsia="仿宋" w:cs="仿宋"/>
                <w:color w:val="FF0000"/>
                <w:kern w:val="2"/>
                <w:sz w:val="24"/>
                <w:szCs w:val="24"/>
                <w:lang w:val="en-US" w:eastAsia="zh-CN" w:bidi="ar-SA"/>
              </w:rPr>
            </w:pPr>
            <w:r>
              <w:rPr>
                <w:rFonts w:hint="eastAsia" w:ascii="仿宋" w:hAnsi="仿宋" w:eastAsia="仿宋" w:cs="仿宋"/>
                <w:color w:val="FF000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1560" w:type="dxa"/>
            <w:vAlign w:val="center"/>
          </w:tcPr>
          <w:p>
            <w:pPr>
              <w:widowControl/>
              <w:jc w:val="center"/>
              <w:textAlignment w:val="center"/>
              <w:rPr>
                <w:rFonts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充电桩</w:t>
            </w:r>
          </w:p>
        </w:tc>
        <w:tc>
          <w:tcPr>
            <w:tcW w:w="4677" w:type="dxa"/>
            <w:vAlign w:val="center"/>
          </w:tcPr>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1.尺寸 500*350*660mm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2.系统输 入特性 供电方式 单相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3.额定输入电压（V） 220Vac ，输入电压范围（V） 198Vac~242Vac ，输入功率（W） 2000W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4.交流电网频率（Hz） 45Hz~55Hz ，系统输出特性 输出功率(kW) ，1.8kW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5.输出额定电压（V），42Vdc～58Vdc ，输出电流（A） 0～30A ，效率 ≥90%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6.过载能力 110% 额定功率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7.保护功能：电池反接保护 ，输出侧电压&lt;5V 100ms 内切断输出继电器 ，输出短路保护 ，输出电流&gt;35A 100ms 内停机 ，输出过压保护 ，电池电压&gt;60V ，100ms 内停机 ，过温保护 ，内部温度&gt;75℃ 暂停输出 ，异常保护；功率器件异常则保护关机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8.工作环境温度 :-10℃～+45℃ ，存储温度 ；-40℃～+75℃ ，相对湿度 ；20～80%，无凝露 </w:t>
            </w:r>
          </w:p>
          <w:p>
            <w:pP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9.海拔 :2000m 满载输出</w:t>
            </w:r>
          </w:p>
          <w:p>
            <w:pP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10．产品生产商具有“</w:t>
            </w:r>
            <w:r>
              <w:rPr>
                <w:rFonts w:ascii="宋体" w:hAnsi="宋体" w:eastAsia="宋体" w:cs="宋体"/>
                <w:color w:val="000000"/>
                <w:kern w:val="0"/>
                <w:sz w:val="16"/>
                <w:szCs w:val="16"/>
                <w:lang w:bidi="ar"/>
              </w:rPr>
              <w:t>接触式自动充电系统</w:t>
            </w:r>
            <w:r>
              <w:rPr>
                <w:rFonts w:hint="eastAsia" w:ascii="宋体" w:hAnsi="宋体" w:eastAsia="宋体" w:cs="宋体"/>
                <w:color w:val="000000"/>
                <w:kern w:val="0"/>
                <w:sz w:val="16"/>
                <w:szCs w:val="16"/>
                <w:lang w:bidi="ar"/>
              </w:rPr>
              <w:t>”相关的专利证书</w:t>
            </w:r>
          </w:p>
        </w:tc>
        <w:tc>
          <w:tcPr>
            <w:tcW w:w="1701" w:type="dxa"/>
            <w:vAlign w:val="center"/>
          </w:tcPr>
          <w:p>
            <w:pPr>
              <w:jc w:val="center"/>
              <w:rPr>
                <w:rFonts w:ascii="仿宋" w:hAnsi="仿宋" w:eastAsia="仿宋" w:cs="仿宋"/>
                <w:kern w:val="2"/>
                <w:sz w:val="24"/>
                <w:szCs w:val="24"/>
                <w:lang w:val="en-US" w:eastAsia="zh-CN" w:bidi="ar-SA"/>
              </w:rPr>
            </w:pPr>
            <w:r>
              <w:rPr>
                <w:rFonts w:hint="eastAsia" w:ascii="仿宋" w:hAnsi="仿宋" w:eastAsia="仿宋" w:cs="仿宋"/>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1560" w:type="dxa"/>
            <w:vAlign w:val="center"/>
          </w:tcPr>
          <w:p>
            <w:pPr>
              <w:rPr>
                <w:rFonts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货到人货架</w:t>
            </w:r>
          </w:p>
        </w:tc>
        <w:tc>
          <w:tcPr>
            <w:tcW w:w="4677" w:type="dxa"/>
            <w:vAlign w:val="center"/>
          </w:tcPr>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货架尺寸：900mm*900mm*2400mm,</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★喷塑后按照GB/T9286-1998中规定的实验方法，实验结果等级≤1级； </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自重不超过70kg，底盘承重500kg，2-4层每层承重100kg，层板满载垂直方向最大弹性变形不超过5mm； 底管塞安装牢固，不得脱落; </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货架满载均载，最上沿相对于底部偏移距离不超过6mm；货架满载偏载，最上沿相对于底部偏移距离不超过8mm； </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整体货架固定安装后，受外力时无明显晃动，横梁与层板安装后无明显晃动，满载整体无明显变形及凹陷等缺陷； </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 xml:space="preserve">横梁最上沿高出层板10毫米，满载后横梁垂直方向最大弹性变形不超过3mm，横梁外翻变形不超过3mm； </w:t>
            </w:r>
          </w:p>
          <w:p>
            <w:pPr>
              <w:numPr>
                <w:ilvl w:val="0"/>
                <w:numId w:val="2"/>
              </w:numPr>
              <w:adjustRightInd w:val="0"/>
              <w:snapToGrid w:val="0"/>
              <w:spacing w:line="360" w:lineRule="auto"/>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 xml:space="preserve">材料规格：底座40×40×2，立柱33×33×2、葫芦口间距为36，层板、底板、层板加强筋0.6mm； </w:t>
            </w:r>
          </w:p>
          <w:p>
            <w:pPr>
              <w:numPr>
                <w:ilvl w:val="0"/>
                <w:numId w:val="2"/>
              </w:numPr>
              <w:adjustRightInd w:val="0"/>
              <w:snapToGrid w:val="0"/>
              <w:spacing w:line="360" w:lineRule="auto"/>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产品生产商具有“</w:t>
            </w:r>
            <w:r>
              <w:rPr>
                <w:rFonts w:ascii="宋体" w:hAnsi="宋体" w:eastAsia="宋体" w:cs="宋体"/>
                <w:color w:val="000000"/>
                <w:kern w:val="0"/>
                <w:sz w:val="16"/>
                <w:szCs w:val="16"/>
                <w:lang w:bidi="ar"/>
              </w:rPr>
              <w:t>防脱落装置货架</w:t>
            </w:r>
            <w:r>
              <w:rPr>
                <w:rFonts w:hint="eastAsia" w:ascii="宋体" w:hAnsi="宋体" w:eastAsia="宋体" w:cs="宋体"/>
                <w:color w:val="000000"/>
                <w:kern w:val="0"/>
                <w:sz w:val="16"/>
                <w:szCs w:val="16"/>
                <w:lang w:bidi="ar"/>
              </w:rPr>
              <w:t>”相关的专利证书</w:t>
            </w:r>
          </w:p>
        </w:tc>
        <w:tc>
          <w:tcPr>
            <w:tcW w:w="1701" w:type="dxa"/>
            <w:vAlign w:val="center"/>
          </w:tcPr>
          <w:p>
            <w:pPr>
              <w:jc w:val="center"/>
              <w:rPr>
                <w:rFonts w:ascii="仿宋" w:hAnsi="仿宋" w:eastAsia="仿宋" w:cs="仿宋"/>
                <w:kern w:val="2"/>
                <w:sz w:val="24"/>
                <w:szCs w:val="24"/>
                <w:lang w:val="en-US" w:eastAsia="zh-CN" w:bidi="ar-SA"/>
              </w:rPr>
            </w:pPr>
            <w:r>
              <w:rPr>
                <w:rFonts w:hint="eastAsia" w:ascii="仿宋" w:hAnsi="仿宋" w:eastAsia="仿宋" w:cs="仿宋"/>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4</w:t>
            </w:r>
          </w:p>
        </w:tc>
        <w:tc>
          <w:tcPr>
            <w:tcW w:w="1560" w:type="dxa"/>
            <w:vAlign w:val="center"/>
          </w:tcPr>
          <w:p>
            <w:pPr>
              <w:pStyle w:val="12"/>
              <w:spacing w:line="240" w:lineRule="auto"/>
              <w:ind w:firstLine="0" w:firstLineChars="0"/>
              <w:textAlignment w:val="center"/>
              <w:rPr>
                <w:rFonts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RCS调度系统</w:t>
            </w:r>
          </w:p>
        </w:tc>
        <w:tc>
          <w:tcPr>
            <w:tcW w:w="4677" w:type="dxa"/>
            <w:vAlign w:val="center"/>
          </w:tcPr>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1.配置中心：</w:t>
            </w:r>
            <w:r>
              <w:rPr>
                <w:rFonts w:ascii="宋体" w:hAnsi="宋体" w:eastAsia="宋体" w:cs="宋体"/>
                <w:color w:val="000000"/>
                <w:kern w:val="0"/>
                <w:sz w:val="16"/>
                <w:szCs w:val="16"/>
                <w:lang w:bidi="ar"/>
              </w:rPr>
              <w:t>机器人管理、充电桩管理</w:t>
            </w: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参数配置、系统配置、模式配置、服务端指令层配置</w:t>
            </w: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状态管理、指令管理、注册管理</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可视化管理：实时并可视化展现仓库地图，在系统上可以对仓库中所有系统元素（机器人，货架，工作站，充电桩，订单任务，后台日志等）进行实时的查看，方便现场的运维人员进行实时的管理；（提供软件功能截图）</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3.任务管理：</w:t>
            </w:r>
            <w:r>
              <w:rPr>
                <w:rFonts w:ascii="宋体" w:hAnsi="宋体" w:eastAsia="宋体" w:cs="宋体"/>
                <w:color w:val="000000"/>
                <w:kern w:val="0"/>
                <w:sz w:val="16"/>
                <w:szCs w:val="16"/>
                <w:lang w:bidi="ar"/>
              </w:rPr>
              <w:t>状态管理、指令管理、注册管理</w:t>
            </w:r>
            <w:r>
              <w:rPr>
                <w:rFonts w:hint="eastAsia" w:ascii="宋体" w:hAnsi="宋体" w:eastAsia="宋体" w:cs="宋体"/>
                <w:color w:val="000000"/>
                <w:kern w:val="0"/>
                <w:sz w:val="16"/>
                <w:szCs w:val="16"/>
                <w:lang w:bidi="ar"/>
              </w:rPr>
              <w:t>，</w:t>
            </w:r>
            <w:r>
              <w:rPr>
                <w:rFonts w:ascii="宋体" w:hAnsi="宋体" w:eastAsia="宋体" w:cs="宋体"/>
                <w:color w:val="000000"/>
                <w:kern w:val="0"/>
                <w:sz w:val="16"/>
                <w:szCs w:val="16"/>
                <w:lang w:bidi="ar"/>
              </w:rPr>
              <w:t>充电调度、死锁移动调度</w:t>
            </w:r>
            <w:r>
              <w:rPr>
                <w:rFonts w:hint="eastAsia" w:ascii="宋体" w:hAnsi="宋体" w:eastAsia="宋体" w:cs="宋体"/>
                <w:color w:val="000000"/>
                <w:kern w:val="0"/>
                <w:sz w:val="16"/>
                <w:szCs w:val="16"/>
                <w:lang w:bidi="ar"/>
              </w:rPr>
              <w:t>接收上游任务执行，并反馈；（提供软件功能截图）</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4.路径搜索：通过算法检索可达路径，选择合理路径；</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5.交通控制：</w:t>
            </w:r>
            <w:r>
              <w:rPr>
                <w:rFonts w:ascii="宋体" w:hAnsi="宋体" w:eastAsia="宋体" w:cs="宋体"/>
                <w:color w:val="000000"/>
                <w:kern w:val="0"/>
                <w:sz w:val="16"/>
                <w:szCs w:val="16"/>
                <w:lang w:bidi="ar"/>
              </w:rPr>
              <w:t>死锁移动、锁闭移动、路径规划</w:t>
            </w:r>
            <w:r>
              <w:rPr>
                <w:rFonts w:hint="eastAsia" w:ascii="宋体" w:hAnsi="宋体" w:eastAsia="宋体" w:cs="宋体"/>
                <w:color w:val="000000"/>
                <w:kern w:val="0"/>
                <w:sz w:val="16"/>
                <w:szCs w:val="16"/>
                <w:lang w:bidi="ar"/>
              </w:rPr>
              <w:t>，路径规划执行过程管理，动态调整，保证车辆安全行进，满足多种类型AGV同时调度；（提供项目案例）</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6.锁闭管理：车辆负载或空载，静止或运动状态下锁闭管理机制，避免发生碰撞；</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7.主动避障：当AGV申请锁闭点或规划路径遇到障碍物或问题车辆时，会主动将其避开；</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8.充电设置：可设置低电量充电、满电退出充电；（提供软件功能截图）</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9.多台设备运行：满足500台AGV的调度运行能力（提供项目案例及合同订单）</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10. 产品生产商具有“</w:t>
            </w:r>
            <w:r>
              <w:rPr>
                <w:rFonts w:ascii="宋体" w:hAnsi="宋体" w:eastAsia="宋体" w:cs="宋体"/>
                <w:color w:val="000000"/>
                <w:kern w:val="0"/>
                <w:sz w:val="16"/>
                <w:szCs w:val="16"/>
                <w:lang w:bidi="ar"/>
              </w:rPr>
              <w:t>智能仓储系统、智能货架系统以及智能仓储方法</w:t>
            </w:r>
            <w:r>
              <w:rPr>
                <w:rFonts w:hint="eastAsia" w:ascii="宋体" w:hAnsi="宋体" w:eastAsia="宋体" w:cs="宋体"/>
                <w:color w:val="000000"/>
                <w:kern w:val="0"/>
                <w:sz w:val="16"/>
                <w:szCs w:val="16"/>
                <w:lang w:bidi="ar"/>
              </w:rPr>
              <w:t>”相关的专利证书</w:t>
            </w:r>
          </w:p>
          <w:p>
            <w:pPr>
              <w:pStyle w:val="12"/>
              <w:spacing w:line="240" w:lineRule="auto"/>
              <w:ind w:firstLine="0" w:firstLineChars="0"/>
              <w:textAlignment w:val="center"/>
              <w:rPr>
                <w:rFonts w:hint="eastAsia"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11. 产品生产商具有“</w:t>
            </w:r>
            <w:r>
              <w:rPr>
                <w:rFonts w:ascii="宋体" w:hAnsi="宋体" w:eastAsia="宋体" w:cs="宋体"/>
                <w:color w:val="000000"/>
                <w:kern w:val="0"/>
                <w:sz w:val="16"/>
                <w:szCs w:val="16"/>
                <w:lang w:bidi="ar"/>
              </w:rPr>
              <w:t>可对货架进行复用的货物存取装置、货物存取系统和方法</w:t>
            </w:r>
            <w:r>
              <w:rPr>
                <w:rFonts w:hint="eastAsia" w:ascii="宋体" w:hAnsi="宋体" w:eastAsia="宋体" w:cs="宋体"/>
                <w:color w:val="000000"/>
                <w:kern w:val="0"/>
                <w:sz w:val="16"/>
                <w:szCs w:val="16"/>
                <w:lang w:bidi="ar"/>
              </w:rPr>
              <w:t>”相关的专利证书</w:t>
            </w:r>
          </w:p>
        </w:tc>
        <w:tc>
          <w:tcPr>
            <w:tcW w:w="1701" w:type="dxa"/>
            <w:vAlign w:val="center"/>
          </w:tcPr>
          <w:p>
            <w:pPr>
              <w:jc w:val="center"/>
              <w:rPr>
                <w:rFonts w:ascii="仿宋" w:hAnsi="仿宋" w:eastAsia="仿宋" w:cs="仿宋"/>
                <w:kern w:val="2"/>
                <w:sz w:val="24"/>
                <w:szCs w:val="24"/>
                <w:lang w:val="en-US" w:eastAsia="zh-CN" w:bidi="ar-SA"/>
              </w:rPr>
            </w:pPr>
            <w:r>
              <w:rPr>
                <w:rFonts w:hint="eastAsia" w:ascii="仿宋" w:hAnsi="仿宋" w:eastAsia="仿宋" w:cs="仿宋"/>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default" w:ascii="宋体" w:hAnsi="宋体" w:eastAsia="宋体" w:cs="宋体"/>
                <w:sz w:val="24"/>
                <w:lang w:val="en-US" w:eastAsia="zh-CN"/>
              </w:rPr>
            </w:pPr>
            <w:r>
              <w:rPr>
                <w:rFonts w:hint="eastAsia" w:ascii="宋体" w:hAnsi="宋体" w:eastAsia="宋体" w:cs="宋体"/>
                <w:sz w:val="24"/>
                <w:lang w:val="en-US" w:eastAsia="zh-CN"/>
              </w:rPr>
              <w:t>5</w:t>
            </w:r>
          </w:p>
        </w:tc>
        <w:tc>
          <w:tcPr>
            <w:tcW w:w="1560" w:type="dxa"/>
            <w:vAlign w:val="center"/>
          </w:tcPr>
          <w:p>
            <w:pPr>
              <w:widowControl/>
              <w:rPr>
                <w:rFonts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《智能仓储分析与应用》课程资源</w:t>
            </w:r>
          </w:p>
        </w:tc>
        <w:tc>
          <w:tcPr>
            <w:tcW w:w="4677" w:type="dxa"/>
            <w:vAlign w:val="center"/>
          </w:tcPr>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第一章、仓储配送设备认知</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课程内容：主要对物流仓储配送设备进行介绍，包含PPT课件2套（仓库认知、仓储设备认知）、视频5套（仓库操作流程、自动化立体库与货到人拣选系统、驶入式货架、物流输送设备概述）。其中平均每个PPT内容不低于25页，平均每个视频时长不低于5分钟。 </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第二章、智慧物流场景案例</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课程内容：主要对智慧物流场景案例进行介绍，提供不少于5个智慧物流实景运营视频，如中国智慧快递分拣系统、菜鸟网络仓储中心、中通快递交叉带自动分拣线、亚马逊无人仓储、顺丰智慧物流分拨中心、美团无人机配送服务、京东智慧物流智能枢纽中心等。总视频时长不低于15分钟。</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第三章、仓库出入库管理</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课程内容：主要对物流仓库出入库管理进行介绍，包含PPT课件2套（入库作业、出库作业），视频1套（货位分配概述）、动画3套（仓储的定义、入库准备、出库作业）。其中平均每个PPT内容不低于25页，平均每个视频时长不低于5分钟，平均每个动画时长不低于2分钟。</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第四章、条码技术与应用</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课程内容：主要对物流行业条码技术与应用进行介绍，包含PPT课件1套（物流条码技术与应用）、视频2套(一维条码技术概述、二维码的识别与原理)。其中平均每个PPT内容不低于25页，平均每个视频时长不低于5分钟。</w:t>
            </w:r>
          </w:p>
          <w:p>
            <w:pPr>
              <w:pStyle w:val="12"/>
              <w:spacing w:line="240" w:lineRule="auto"/>
              <w:ind w:firstLine="0"/>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第五章、RFID技术与应用</w:t>
            </w:r>
          </w:p>
          <w:p>
            <w:pPr>
              <w:pStyle w:val="12"/>
              <w:spacing w:line="240" w:lineRule="auto"/>
              <w:ind w:firstLine="0" w:firstLineChars="0"/>
              <w:textAlignment w:val="center"/>
              <w:rPr>
                <w:rFonts w:ascii="宋体" w:hAnsi="宋体" w:eastAsia="宋体" w:cs="宋体"/>
                <w:color w:val="000000"/>
                <w:kern w:val="0"/>
                <w:sz w:val="16"/>
                <w:szCs w:val="16"/>
                <w:lang w:val="en-US" w:eastAsia="zh-CN" w:bidi="ar"/>
              </w:rPr>
            </w:pPr>
            <w:r>
              <w:rPr>
                <w:rFonts w:hint="eastAsia" w:ascii="宋体" w:hAnsi="宋体" w:eastAsia="宋体" w:cs="宋体"/>
                <w:color w:val="000000"/>
                <w:kern w:val="0"/>
                <w:sz w:val="16"/>
                <w:szCs w:val="16"/>
                <w:lang w:bidi="ar"/>
              </w:rPr>
              <w:t>课程内容：主要对物流行业RFID技术与应用进行介绍，包含PPT课件1套（RFID基础知识）、视频1套（RFID技术在物流中的应用）、动画1套（射频识别技术简介）。其中PPT内容不低于25页，视频时长不低于5分钟，动画时长不低于3分钟。</w:t>
            </w:r>
          </w:p>
        </w:tc>
        <w:tc>
          <w:tcPr>
            <w:tcW w:w="1701"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r>
    </w:tbl>
    <w:p>
      <w:pPr>
        <w:rPr>
          <w:rFonts w:ascii="宋体" w:hAnsi="宋体" w:eastAsia="宋体" w:cs="宋体"/>
          <w:sz w:val="24"/>
        </w:rPr>
      </w:pPr>
    </w:p>
    <w:permEnd w:id="19"/>
    <w:p>
      <w:pPr>
        <w:rPr>
          <w:rFonts w:ascii="宋体" w:hAnsi="宋体" w:eastAsia="宋体" w:cs="宋体"/>
          <w:b/>
          <w:sz w:val="28"/>
          <w:szCs w:val="28"/>
        </w:rPr>
      </w:pPr>
    </w:p>
    <w:p>
      <w:pPr>
        <w:ind w:firstLine="420"/>
        <w:jc w:val="left"/>
        <w:rPr>
          <w:rFonts w:ascii="仿宋" w:hAnsi="仿宋" w:eastAsia="仿宋"/>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5173A"/>
    <w:multiLevelType w:val="singleLevel"/>
    <w:tmpl w:val="B825173A"/>
    <w:lvl w:ilvl="0" w:tentative="0">
      <w:start w:val="1"/>
      <w:numFmt w:val="decimal"/>
      <w:lvlText w:val="%1."/>
      <w:lvlJc w:val="left"/>
      <w:pPr>
        <w:tabs>
          <w:tab w:val="left" w:pos="312"/>
        </w:tabs>
      </w:pPr>
    </w:lvl>
  </w:abstractNum>
  <w:abstractNum w:abstractNumId="1">
    <w:nsid w:val="56081BBE"/>
    <w:multiLevelType w:val="singleLevel"/>
    <w:tmpl w:val="56081BBE"/>
    <w:lvl w:ilvl="0" w:tentative="0">
      <w:start w:val="1"/>
      <w:numFmt w:val="decimal"/>
      <w:lvlText w:val="%1."/>
      <w:lvlJc w:val="left"/>
      <w:pPr>
        <w:tabs>
          <w:tab w:val="left" w:pos="312"/>
        </w:tabs>
      </w:pPr>
    </w:lvl>
  </w:abstractNum>
  <w:abstractNum w:abstractNumId="2">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5MmIzNjExOTEyMTc5ZjBmM2FjNDE1YTNjYTRmZWYifQ=="/>
  </w:docVars>
  <w:rsids>
    <w:rsidRoot w:val="00405D4C"/>
    <w:rsid w:val="001F42FC"/>
    <w:rsid w:val="003037F4"/>
    <w:rsid w:val="00405D4C"/>
    <w:rsid w:val="009B6F58"/>
    <w:rsid w:val="00A362AB"/>
    <w:rsid w:val="00A54517"/>
    <w:rsid w:val="00A54DDE"/>
    <w:rsid w:val="00AF133D"/>
    <w:rsid w:val="00C32470"/>
    <w:rsid w:val="00CB7E2E"/>
    <w:rsid w:val="00E41380"/>
    <w:rsid w:val="00E53F12"/>
    <w:rsid w:val="00ED167D"/>
    <w:rsid w:val="00F57AD0"/>
    <w:rsid w:val="024E06A7"/>
    <w:rsid w:val="03D459C2"/>
    <w:rsid w:val="0C9B4413"/>
    <w:rsid w:val="0E637468"/>
    <w:rsid w:val="107C601B"/>
    <w:rsid w:val="12F865F2"/>
    <w:rsid w:val="19940C3D"/>
    <w:rsid w:val="20EC75B1"/>
    <w:rsid w:val="21CE4F9E"/>
    <w:rsid w:val="2248574C"/>
    <w:rsid w:val="248720BC"/>
    <w:rsid w:val="26470C17"/>
    <w:rsid w:val="27680964"/>
    <w:rsid w:val="2AF23A16"/>
    <w:rsid w:val="2CF32449"/>
    <w:rsid w:val="31DB5204"/>
    <w:rsid w:val="36EE59D9"/>
    <w:rsid w:val="384D38BC"/>
    <w:rsid w:val="3DAD6937"/>
    <w:rsid w:val="42891920"/>
    <w:rsid w:val="43EC2AC2"/>
    <w:rsid w:val="460D598E"/>
    <w:rsid w:val="4AA818A3"/>
    <w:rsid w:val="4E2F4CF1"/>
    <w:rsid w:val="539C7A3E"/>
    <w:rsid w:val="55A31FD5"/>
    <w:rsid w:val="55B14CF7"/>
    <w:rsid w:val="578A5EAF"/>
    <w:rsid w:val="635D78BF"/>
    <w:rsid w:val="64945274"/>
    <w:rsid w:val="65811B4C"/>
    <w:rsid w:val="67BD4777"/>
    <w:rsid w:val="6B601CFA"/>
    <w:rsid w:val="77EE3145"/>
    <w:rsid w:val="77F75099"/>
    <w:rsid w:val="78F54D48"/>
    <w:rsid w:val="79414CB1"/>
    <w:rsid w:val="79FE5C84"/>
    <w:rsid w:val="D15F8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列表段落1"/>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 w:type="paragraph" w:customStyle="1" w:styleId="12">
    <w:name w:val="正文正"/>
    <w:basedOn w:val="1"/>
    <w:qFormat/>
    <w:uiPriority w:val="0"/>
    <w:pPr>
      <w:spacing w:line="560" w:lineRule="exact"/>
      <w:ind w:firstLine="561"/>
    </w:pPr>
    <w:rPr>
      <w:rFonts w:ascii="Times New Roman" w:hAnsi="Times New Roman" w:eastAsia="仿宋_GB2312" w:cs="Times New Roman"/>
      <w:sz w:val="28"/>
      <w:szCs w:val="24"/>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6778</Words>
  <Characters>7511</Characters>
  <Lines>34</Lines>
  <Paragraphs>9</Paragraphs>
  <TotalTime>1</TotalTime>
  <ScaleCrop>false</ScaleCrop>
  <LinksUpToDate>false</LinksUpToDate>
  <CharactersWithSpaces>7735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2024-07-08T03:54:00Z</dcterms:created>
  <dc:creator>李 一男</dc:creator>
  <cp:lastModifiedBy>陳楷</cp:lastModifiedBy>
  <cp:lastPrinted>2024-01-03T10:56:00Z</cp:lastPrinted>
  <dcterms:modified xsi:type="dcterms:W3CDTF">2024-07-29T03:29:25Z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F2E6C25AB33346359A8B175EBE477A95_13</vt:lpwstr>
  </property>
</Properties>
</file>