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CGHW20241125-821-1 中文图书采购项目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sz w:val="28"/>
          <w:szCs w:val="28"/>
          <w:highlight w:val="cyan"/>
          <w:u w:val="single"/>
          <w:lang w:eastAsia="zh-CN"/>
        </w:rPr>
        <w:t>中文图书采购项目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sz w:val="28"/>
          <w:szCs w:val="28"/>
          <w:highlight w:val="cyan"/>
          <w:u w:val="single"/>
          <w:lang w:eastAsia="zh-CN"/>
        </w:rPr>
        <w:t>CGHW20241125-821-1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  <w:bookmarkStart w:id="1" w:name="_GoBack"/>
      <w:bookmarkEnd w:id="1"/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2B14E0D"/>
    <w:rsid w:val="1695643B"/>
    <w:rsid w:val="1DF96222"/>
    <w:rsid w:val="205069C2"/>
    <w:rsid w:val="21381B54"/>
    <w:rsid w:val="27CC3C02"/>
    <w:rsid w:val="29DE1724"/>
    <w:rsid w:val="40217F1C"/>
    <w:rsid w:val="465869CB"/>
    <w:rsid w:val="5BED193C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797</Characters>
  <Lines>0</Lines>
  <Paragraphs>0</Paragraphs>
  <TotalTime>0</TotalTime>
  <ScaleCrop>false</ScaleCrop>
  <LinksUpToDate>false</LinksUpToDate>
  <CharactersWithSpaces>1061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2024-12-05T01:54:28Z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6FA47AA17EA14A148A95FB0AE44F3985_13</vt:lpwstr>
  </property>
</Properties>
</file>